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E6" w:rsidRDefault="005C2DF8">
      <w:pPr>
        <w:spacing w:before="82"/>
        <w:ind w:left="220"/>
        <w:rPr>
          <w:sz w:val="16"/>
        </w:rPr>
      </w:pPr>
      <w:r>
        <w:rPr>
          <w:sz w:val="16"/>
        </w:rPr>
        <w:t>The Ef</w:t>
      </w:r>
      <w:r w:rsidR="007B34D6">
        <w:rPr>
          <w:sz w:val="16"/>
        </w:rPr>
        <w:t>fects of Listening</w:t>
      </w:r>
    </w:p>
    <w:p w:rsidR="007B34D6" w:rsidRDefault="007B34D6">
      <w:pPr>
        <w:spacing w:before="82"/>
        <w:ind w:left="220"/>
        <w:rPr>
          <w:sz w:val="16"/>
        </w:rPr>
      </w:pPr>
      <w:r>
        <w:rPr>
          <w:sz w:val="16"/>
        </w:rPr>
        <w:t>BLIND REVIEW</w:t>
      </w:r>
    </w:p>
    <w:p w:rsidR="007A0FE6" w:rsidRDefault="007A0FE6">
      <w:pPr>
        <w:pStyle w:val="BodyText"/>
        <w:rPr>
          <w:sz w:val="20"/>
        </w:rPr>
      </w:pPr>
    </w:p>
    <w:p w:rsidR="007A0FE6" w:rsidRDefault="007A0FE6">
      <w:pPr>
        <w:pStyle w:val="BodyText"/>
        <w:spacing w:before="10"/>
        <w:rPr>
          <w:sz w:val="18"/>
        </w:rPr>
      </w:pPr>
    </w:p>
    <w:p w:rsidR="007A0FE6" w:rsidRDefault="005C2DF8">
      <w:pPr>
        <w:pStyle w:val="Title"/>
      </w:pPr>
      <w:r>
        <w:t>The Effects of Listening Comprehension on ESL Learners’ English Language Proficiency</w:t>
      </w:r>
    </w:p>
    <w:p w:rsidR="007A0FE6" w:rsidRDefault="007A0FE6">
      <w:pPr>
        <w:pStyle w:val="BodyText"/>
        <w:rPr>
          <w:i/>
        </w:rPr>
      </w:pPr>
    </w:p>
    <w:p w:rsidR="007A0FE6" w:rsidRDefault="005C2DF8">
      <w:pPr>
        <w:pStyle w:val="Heading1"/>
        <w:ind w:left="512" w:right="513"/>
        <w:jc w:val="center"/>
      </w:pPr>
      <w:r>
        <w:t>ABSTRACT</w:t>
      </w:r>
    </w:p>
    <w:p w:rsidR="007A0FE6" w:rsidRDefault="005C2DF8">
      <w:pPr>
        <w:pStyle w:val="BodyText"/>
        <w:ind w:left="220" w:right="212"/>
        <w:jc w:val="both"/>
      </w:pPr>
      <w:r>
        <w:t xml:space="preserve">Literature on Second Language Acquisition indicates positive effects of listening comprehension on ESL learners’ English language proficiency. This study is based on the point of view that listening comprehension is one of the most important yet neglected communicative componential </w:t>
      </w:r>
      <w:proofErr w:type="gramStart"/>
      <w:r>
        <w:t>requirement</w:t>
      </w:r>
      <w:proofErr w:type="gramEnd"/>
      <w:r>
        <w:t xml:space="preserve"> for second language acquisition. This mixed- methods cross-sectional study aims to gauge the effects of listening comprehension on ESL learners’ English language proficiency, measured by pre-test, and post-test paired samples t-tests results obtained from the sample IELTS language proficiency tests. The results show statistically significant effects of listening comprehension skills on the other language skills: reading, writing, and listening. The results also show that listening comprehension skills did not significantly improve the participants’ speaking skills. The paired samples correlations show the highest correlation between pre-test and post-test scores for speaking skills. In order to understand the contributing factor, the participants were observed. It was found that the participants cannot manage a constant flow of aural English language at a first encounter. The first linguistics features that made an </w:t>
      </w:r>
      <w:proofErr w:type="gramStart"/>
      <w:r>
        <w:t>impression</w:t>
      </w:r>
      <w:proofErr w:type="gramEnd"/>
      <w:r>
        <w:t xml:space="preserve"> on the participants were phonology, and the accents of the native speaker. The research findings confirmed the impact of listening comprehension on ESL learners’ English language proficiency.</w:t>
      </w:r>
    </w:p>
    <w:p w:rsidR="007A0FE6" w:rsidRDefault="007A0FE6">
      <w:pPr>
        <w:pStyle w:val="BodyText"/>
        <w:spacing w:before="4"/>
        <w:rPr>
          <w:sz w:val="34"/>
        </w:rPr>
      </w:pPr>
    </w:p>
    <w:p w:rsidR="007A0FE6" w:rsidRDefault="005C2DF8">
      <w:pPr>
        <w:pStyle w:val="Heading1"/>
        <w:tabs>
          <w:tab w:val="left" w:pos="1938"/>
          <w:tab w:val="left" w:pos="2885"/>
          <w:tab w:val="left" w:pos="4019"/>
          <w:tab w:val="left" w:pos="5414"/>
          <w:tab w:val="left" w:pos="6496"/>
          <w:tab w:val="left" w:pos="8329"/>
        </w:tabs>
        <w:ind w:right="216"/>
      </w:pPr>
      <w:r>
        <w:t>KEYWORDS:</w:t>
      </w:r>
      <w:r>
        <w:tab/>
        <w:t>Second</w:t>
      </w:r>
      <w:r>
        <w:tab/>
        <w:t>language</w:t>
      </w:r>
      <w:r>
        <w:tab/>
        <w:t>acquisition,</w:t>
      </w:r>
      <w:r>
        <w:tab/>
        <w:t>listening</w:t>
      </w:r>
      <w:r>
        <w:tab/>
        <w:t>comprehension,</w:t>
      </w:r>
      <w:r>
        <w:tab/>
      </w:r>
      <w:r>
        <w:rPr>
          <w:spacing w:val="-5"/>
        </w:rPr>
        <w:t xml:space="preserve">rural </w:t>
      </w:r>
      <w:r>
        <w:t>secondary</w:t>
      </w:r>
      <w:r>
        <w:rPr>
          <w:spacing w:val="-1"/>
        </w:rPr>
        <w:t xml:space="preserve"> </w:t>
      </w:r>
      <w:r>
        <w:t>students</w:t>
      </w:r>
    </w:p>
    <w:p w:rsidR="007A0FE6" w:rsidRDefault="007A0FE6">
      <w:pPr>
        <w:pStyle w:val="BodyText"/>
        <w:rPr>
          <w:b/>
        </w:rPr>
      </w:pPr>
    </w:p>
    <w:p w:rsidR="007A0FE6" w:rsidRDefault="005C2DF8">
      <w:pPr>
        <w:ind w:left="220"/>
        <w:rPr>
          <w:b/>
          <w:sz w:val="24"/>
        </w:rPr>
      </w:pPr>
      <w:r>
        <w:rPr>
          <w:b/>
          <w:sz w:val="24"/>
        </w:rPr>
        <w:t>Introduction</w:t>
      </w:r>
    </w:p>
    <w:p w:rsidR="007A0FE6" w:rsidRDefault="007A0FE6">
      <w:pPr>
        <w:pStyle w:val="BodyText"/>
        <w:rPr>
          <w:b/>
        </w:rPr>
      </w:pPr>
    </w:p>
    <w:p w:rsidR="007A0FE6" w:rsidRDefault="005C2DF8">
      <w:pPr>
        <w:pStyle w:val="BodyText"/>
        <w:ind w:left="220" w:right="213"/>
        <w:jc w:val="both"/>
      </w:pPr>
      <w:r>
        <w:t>It has been a common practice for ESL/EFL teachers to focus on learners’ getting the right answers during listening exercises. Second/foreign language learners most often experience listening comprehension as a test (</w:t>
      </w:r>
      <w:proofErr w:type="spellStart"/>
      <w:r>
        <w:t>Usó</w:t>
      </w:r>
      <w:proofErr w:type="spellEnd"/>
      <w:r>
        <w:t xml:space="preserve">-Juan, &amp; </w:t>
      </w:r>
      <w:proofErr w:type="spellStart"/>
      <w:r>
        <w:t>Martínez-Flor</w:t>
      </w:r>
      <w:proofErr w:type="spellEnd"/>
      <w:r>
        <w:t xml:space="preserve">, 2006), rather than a process of acquiring second language proficiency. A more systematic method of teaching second/foreign listening skills has long been advocated (Field, 2008) by ESL/EFL researchers. However, it remains an under developed area, because the second/foreign language listening process has been proven a difficult, and inaccessible one due to its implicit nature. Listening entails learners understanding aural messages, in addition to attempting to </w:t>
      </w:r>
      <w:proofErr w:type="spellStart"/>
      <w:r>
        <w:t>recognise</w:t>
      </w:r>
      <w:proofErr w:type="spellEnd"/>
      <w:r>
        <w:t xml:space="preserve"> human emotions that range from depression to frustration, from exhilaration to pride through intonation, pauses between words, emphasis, and rhythm. Teaching listening comprehension is therefore one of the most challenging tasks for second/foreign language teachers (Walker, 2014).</w:t>
      </w:r>
    </w:p>
    <w:p w:rsidR="007A0FE6" w:rsidRDefault="007A0FE6">
      <w:pPr>
        <w:pStyle w:val="BodyText"/>
        <w:rPr>
          <w:sz w:val="20"/>
        </w:rPr>
      </w:pPr>
    </w:p>
    <w:p w:rsidR="007A0FE6" w:rsidRDefault="007A0FE6">
      <w:pPr>
        <w:pStyle w:val="BodyText"/>
        <w:rPr>
          <w:sz w:val="20"/>
        </w:rPr>
      </w:pPr>
    </w:p>
    <w:p w:rsidR="007A0FE6" w:rsidRDefault="007A0FE6">
      <w:pPr>
        <w:pStyle w:val="BodyText"/>
        <w:rPr>
          <w:sz w:val="20"/>
        </w:rPr>
      </w:pPr>
    </w:p>
    <w:p w:rsidR="007A0FE6" w:rsidRDefault="007A0FE6">
      <w:pPr>
        <w:pStyle w:val="BodyText"/>
        <w:spacing w:before="4"/>
        <w:rPr>
          <w:sz w:val="23"/>
        </w:rPr>
      </w:pPr>
    </w:p>
    <w:p w:rsidR="007A0FE6" w:rsidRDefault="007B34D6">
      <w:pPr>
        <w:spacing w:before="94"/>
        <w:ind w:left="382" w:right="513"/>
        <w:jc w:val="center"/>
        <w:rPr>
          <w:sz w:val="16"/>
        </w:rPr>
      </w:pPr>
      <w:r>
        <w:rPr>
          <w:sz w:val="16"/>
        </w:rPr>
        <w:t>BLIND REVIEW</w:t>
      </w:r>
    </w:p>
    <w:p w:rsidR="007A0FE6" w:rsidRDefault="007A0FE6">
      <w:pPr>
        <w:jc w:val="center"/>
        <w:rPr>
          <w:sz w:val="16"/>
        </w:rPr>
        <w:sectPr w:rsidR="007A0FE6">
          <w:type w:val="continuous"/>
          <w:pgSz w:w="12240" w:h="15840"/>
          <w:pgMar w:top="640" w:right="1580" w:bottom="280" w:left="1580" w:header="720" w:footer="720" w:gutter="0"/>
          <w:cols w:space="720"/>
        </w:sectPr>
      </w:pPr>
      <w:bookmarkStart w:id="0" w:name="_GoBack"/>
      <w:bookmarkEnd w:id="0"/>
    </w:p>
    <w:p w:rsidR="007A0FE6" w:rsidRDefault="005C2DF8">
      <w:pPr>
        <w:pStyle w:val="Heading1"/>
        <w:spacing w:before="79"/>
        <w:jc w:val="both"/>
      </w:pPr>
      <w:r>
        <w:lastRenderedPageBreak/>
        <w:t>Problem Statement</w:t>
      </w:r>
    </w:p>
    <w:p w:rsidR="007A0FE6" w:rsidRDefault="007A0FE6">
      <w:pPr>
        <w:pStyle w:val="BodyText"/>
        <w:rPr>
          <w:b/>
        </w:rPr>
      </w:pPr>
    </w:p>
    <w:p w:rsidR="007A0FE6" w:rsidRDefault="005C2DF8">
      <w:pPr>
        <w:pStyle w:val="BodyText"/>
        <w:ind w:left="220" w:right="215"/>
        <w:jc w:val="both"/>
      </w:pPr>
      <w:r>
        <w:t>Listening skills is an important language skill that requires more emphasis in the teaching and learning of English. Research has shown that we listen to twice as much language as we speak, four times as much time as we read, and five times as much time as we write (</w:t>
      </w:r>
      <w:proofErr w:type="spellStart"/>
      <w:r>
        <w:t>Celce</w:t>
      </w:r>
      <w:proofErr w:type="spellEnd"/>
      <w:r>
        <w:t xml:space="preserve">-Murcia, &amp; </w:t>
      </w:r>
      <w:proofErr w:type="spellStart"/>
      <w:r>
        <w:t>Olshtain</w:t>
      </w:r>
      <w:proofErr w:type="spellEnd"/>
      <w:r>
        <w:t xml:space="preserve">, 2005). </w:t>
      </w:r>
      <w:proofErr w:type="gramStart"/>
      <w:r>
        <w:t>Nation,</w:t>
      </w:r>
      <w:proofErr w:type="gramEnd"/>
      <w:r>
        <w:t xml:space="preserve"> and Newton (2009) regard listening as the primary channel of learning a language. The acquisition of primary language skills precede secondary language skills: listening skills precedes speaking skills, and aural/oral language skills precede graphic/written language skills. The sequential acquisition process of the four language skills formed the circle of first language learning process (</w:t>
      </w:r>
      <w:proofErr w:type="spellStart"/>
      <w:r>
        <w:t>Bozorgian</w:t>
      </w:r>
      <w:proofErr w:type="spellEnd"/>
      <w:r>
        <w:t>,</w:t>
      </w:r>
      <w:r>
        <w:rPr>
          <w:spacing w:val="-1"/>
        </w:rPr>
        <w:t xml:space="preserve"> </w:t>
      </w:r>
      <w:r>
        <w:t>2012a).</w:t>
      </w:r>
    </w:p>
    <w:p w:rsidR="007A0FE6" w:rsidRDefault="007A0FE6">
      <w:pPr>
        <w:pStyle w:val="BodyText"/>
      </w:pPr>
    </w:p>
    <w:p w:rsidR="007A0FE6" w:rsidRDefault="005C2DF8">
      <w:pPr>
        <w:pStyle w:val="BodyText"/>
        <w:spacing w:before="1"/>
        <w:ind w:left="220" w:right="216"/>
        <w:jc w:val="both"/>
      </w:pPr>
      <w:r>
        <w:t xml:space="preserve">The second language acquisition process may not follow the same sequence of development as the first language acquisition process. Nevertheless, there are three pre- requisite conditions that facilitate second language acquisition. First, a learner needs to </w:t>
      </w:r>
      <w:proofErr w:type="spellStart"/>
      <w:r>
        <w:t>realise</w:t>
      </w:r>
      <w:proofErr w:type="spellEnd"/>
      <w:r>
        <w:t xml:space="preserve"> the importance of learning a second language, and is motivated to do so (</w:t>
      </w:r>
      <w:proofErr w:type="spellStart"/>
      <w:r>
        <w:t>Csizér</w:t>
      </w:r>
      <w:proofErr w:type="spellEnd"/>
      <w:r>
        <w:t xml:space="preserve">, &amp; </w:t>
      </w:r>
      <w:proofErr w:type="spellStart"/>
      <w:r>
        <w:t>Dörnyei</w:t>
      </w:r>
      <w:proofErr w:type="spellEnd"/>
      <w:r>
        <w:t xml:space="preserve">, 2005; Dailey, 2009; Ryan, &amp; </w:t>
      </w:r>
      <w:proofErr w:type="spellStart"/>
      <w:r>
        <w:t>Deci</w:t>
      </w:r>
      <w:proofErr w:type="spellEnd"/>
      <w:r>
        <w:t>, 2000). Second, the teachers, or parents who speak the target language proficiently provide support and guidance, such as using simplification, repetition, and feedback to negotiate second language learning with the learners (Cook, 2015; Pica, 1994; Pica &amp; Doughty, 1985; Swain, 2000). Third, the social environment should provide the learners with comprehensible input, and sustained contact with native speakers, or proficient second language speakers that make second language learning feasible (</w:t>
      </w:r>
      <w:proofErr w:type="spellStart"/>
      <w:r>
        <w:t>Hasan</w:t>
      </w:r>
      <w:proofErr w:type="spellEnd"/>
      <w:r>
        <w:t xml:space="preserve">, 2008; </w:t>
      </w:r>
      <w:proofErr w:type="spellStart"/>
      <w:r>
        <w:t>Krashen</w:t>
      </w:r>
      <w:proofErr w:type="spellEnd"/>
      <w:r>
        <w:t>, 1982; Long, 1996). The difficulties in the effort of acquiring a second language are generally due to a lack in one or more of these factors (</w:t>
      </w:r>
      <w:proofErr w:type="spellStart"/>
      <w:r>
        <w:t>Rost</w:t>
      </w:r>
      <w:proofErr w:type="spellEnd"/>
      <w:r>
        <w:t>,</w:t>
      </w:r>
      <w:r>
        <w:rPr>
          <w:spacing w:val="-3"/>
        </w:rPr>
        <w:t xml:space="preserve"> </w:t>
      </w:r>
      <w:r>
        <w:t>2015).</w:t>
      </w:r>
    </w:p>
    <w:p w:rsidR="007A0FE6" w:rsidRDefault="007A0FE6">
      <w:pPr>
        <w:pStyle w:val="BodyText"/>
        <w:spacing w:before="1"/>
      </w:pPr>
    </w:p>
    <w:p w:rsidR="007A0FE6" w:rsidRDefault="005C2DF8">
      <w:pPr>
        <w:pStyle w:val="BodyText"/>
        <w:ind w:left="220" w:right="214"/>
        <w:jc w:val="both"/>
      </w:pPr>
      <w:r>
        <w:t>In the Malaysian rural schools, English is learned as a second language. However, it is more of a foreign language to them, as they have limited exposure to English aural/oral language in their daily lives. As a result, their second language listening skills lags behind the other language skills. Unfortunately, teachers often are not aware of the problems learners face in acquiring the second language. The common practice in the classroom is that teachers focus on learners’ getting the right answers rather than teaching listening skills (</w:t>
      </w:r>
      <w:proofErr w:type="spellStart"/>
      <w:r>
        <w:t>Rezaei</w:t>
      </w:r>
      <w:proofErr w:type="spellEnd"/>
      <w:r>
        <w:t xml:space="preserve">, &amp; </w:t>
      </w:r>
      <w:proofErr w:type="spellStart"/>
      <w:r>
        <w:t>Hashim</w:t>
      </w:r>
      <w:proofErr w:type="spellEnd"/>
      <w:r>
        <w:t>, 2013). In view of the importance of second language listening skills in second language acquisition, the present study set out to examine the statistical effects of listening skills on three other language skills, and overall second language proficiency.</w:t>
      </w:r>
    </w:p>
    <w:p w:rsidR="007A0FE6" w:rsidRDefault="007A0FE6">
      <w:pPr>
        <w:pStyle w:val="BodyText"/>
      </w:pPr>
    </w:p>
    <w:p w:rsidR="007A0FE6" w:rsidRDefault="005C2DF8">
      <w:pPr>
        <w:pStyle w:val="Heading1"/>
        <w:jc w:val="both"/>
      </w:pPr>
      <w:r>
        <w:t>Review of related literature</w:t>
      </w:r>
    </w:p>
    <w:p w:rsidR="007A0FE6" w:rsidRDefault="007A0FE6">
      <w:pPr>
        <w:pStyle w:val="BodyText"/>
        <w:spacing w:before="1"/>
        <w:rPr>
          <w:b/>
        </w:rPr>
      </w:pPr>
    </w:p>
    <w:p w:rsidR="007A0FE6" w:rsidRDefault="005C2DF8">
      <w:pPr>
        <w:pStyle w:val="Heading2"/>
      </w:pPr>
      <w:r>
        <w:t>The purposes of listening</w:t>
      </w:r>
    </w:p>
    <w:p w:rsidR="007A0FE6" w:rsidRDefault="007A0FE6">
      <w:pPr>
        <w:pStyle w:val="BodyText"/>
        <w:rPr>
          <w:b/>
          <w:i/>
        </w:rPr>
      </w:pPr>
    </w:p>
    <w:p w:rsidR="007A0FE6" w:rsidRDefault="005C2DF8">
      <w:pPr>
        <w:pStyle w:val="BodyText"/>
        <w:ind w:left="220" w:right="213"/>
        <w:jc w:val="both"/>
      </w:pPr>
      <w:proofErr w:type="spellStart"/>
      <w:proofErr w:type="gramStart"/>
      <w:r>
        <w:t>Wolvin</w:t>
      </w:r>
      <w:proofErr w:type="spellEnd"/>
      <w:r>
        <w:t>,</w:t>
      </w:r>
      <w:proofErr w:type="gramEnd"/>
      <w:r>
        <w:t xml:space="preserve"> and </w:t>
      </w:r>
      <w:proofErr w:type="spellStart"/>
      <w:r>
        <w:t>Coakley</w:t>
      </w:r>
      <w:proofErr w:type="spellEnd"/>
      <w:r>
        <w:t xml:space="preserve"> (1988) propose five listening purposes: discriminative listening, comprehensive listening, critical listening, therapeutic listening, and appreciative listening. The listener’s different purposes demonstrate that listening is an active process, rather than a passive product. Steven (1987) points out that many second/foreign listening studies focus on listening comprehension. Generally, in the ESL/EFL classroom, the</w:t>
      </w:r>
    </w:p>
    <w:p w:rsidR="007A0FE6" w:rsidRDefault="007A0FE6">
      <w:pPr>
        <w:jc w:val="both"/>
        <w:sectPr w:rsidR="007A0FE6">
          <w:footerReference w:type="default" r:id="rId6"/>
          <w:pgSz w:w="12240" w:h="15840"/>
          <w:pgMar w:top="1360" w:right="1580" w:bottom="1260" w:left="1580" w:header="0" w:footer="1061" w:gutter="0"/>
          <w:pgNumType w:start="2"/>
          <w:cols w:space="720"/>
        </w:sectPr>
      </w:pPr>
    </w:p>
    <w:p w:rsidR="007A0FE6" w:rsidRDefault="005C2DF8">
      <w:pPr>
        <w:pStyle w:val="BodyText"/>
        <w:spacing w:before="79"/>
        <w:ind w:left="220" w:right="218"/>
        <w:jc w:val="both"/>
      </w:pPr>
      <w:proofErr w:type="gramStart"/>
      <w:r>
        <w:t>purpose</w:t>
      </w:r>
      <w:proofErr w:type="gramEnd"/>
      <w:r>
        <w:t xml:space="preserve"> of listening is to make sense of aural/oral language. Thus, this study adopts the second purpose of listening as mentioned by Steven (1987), that is, to comprehend verbal messages as the research assumption.</w:t>
      </w:r>
    </w:p>
    <w:p w:rsidR="007A0FE6" w:rsidRDefault="007A0FE6">
      <w:pPr>
        <w:pStyle w:val="BodyText"/>
      </w:pPr>
    </w:p>
    <w:p w:rsidR="007A0FE6" w:rsidRDefault="005C2DF8">
      <w:pPr>
        <w:pStyle w:val="Heading2"/>
      </w:pPr>
      <w:r>
        <w:t>The challenges of listening to a second/foreign language</w:t>
      </w:r>
    </w:p>
    <w:p w:rsidR="007A0FE6" w:rsidRDefault="007A0FE6">
      <w:pPr>
        <w:pStyle w:val="BodyText"/>
        <w:rPr>
          <w:b/>
          <w:i/>
        </w:rPr>
      </w:pPr>
    </w:p>
    <w:p w:rsidR="007A0FE6" w:rsidRDefault="005C2DF8">
      <w:pPr>
        <w:pStyle w:val="BodyText"/>
        <w:ind w:left="220" w:right="211"/>
        <w:jc w:val="both"/>
      </w:pPr>
      <w:r>
        <w:t>The complex nature of listening process has made the teaching of such a skill a rather challenging task indeed. To understand the complexity involved, we should identify the learning problems faced by ESL and EFL learners. One obvious problem is the pronunciation of words which differ greatly from the way they appear in print (Bloomfield et al., 2010). Thus, the identification of the words in spoken discourse may prove problematic for learners. Likewise, listeners, unlike readers do not have the luxury of regular spacing that indicates the beginning and ending of words as they do in print (Vandergrift, 2007). In addition to pronunciation, and the identification of sentence boundaries, prosodic characteristics of spoken discourse, such as where the stress falls, weak, and strong forms of words; the speaker’s intonation and emotion also influence comprehension of the verbal messages. Furthermore, spoken discourse usually come in short phrases, or clusters loosely strung together (</w:t>
      </w:r>
      <w:proofErr w:type="spellStart"/>
      <w:r>
        <w:t>Osada</w:t>
      </w:r>
      <w:proofErr w:type="spellEnd"/>
      <w:r>
        <w:t>, 2004), with mispronunciation, hesitations, rephrasing of utterances, repetition. Eventually, listeners may face the risks of losing track of what is being said (Field, 2008).</w:t>
      </w:r>
    </w:p>
    <w:p w:rsidR="007A0FE6" w:rsidRDefault="007A0FE6">
      <w:pPr>
        <w:pStyle w:val="BodyText"/>
        <w:spacing w:before="1"/>
      </w:pPr>
    </w:p>
    <w:p w:rsidR="007A0FE6" w:rsidRDefault="005C2DF8">
      <w:pPr>
        <w:pStyle w:val="BodyText"/>
        <w:ind w:left="220" w:right="214"/>
        <w:jc w:val="both"/>
      </w:pPr>
      <w:r>
        <w:t xml:space="preserve">Learners’ home language </w:t>
      </w:r>
      <w:proofErr w:type="gramStart"/>
      <w:r>
        <w:t>backgrounds,</w:t>
      </w:r>
      <w:proofErr w:type="gramEnd"/>
      <w:r>
        <w:t xml:space="preserve"> and their understanding of the foreign culture also affect their comprehension of the spoken discourse. Similarly, vocabulary related to foreign culture may also impede comprehension. Vocabulary and grammar in spoken discourse also tend to be more colloquial and less formal (</w:t>
      </w:r>
      <w:proofErr w:type="spellStart"/>
      <w:r>
        <w:t>Osada</w:t>
      </w:r>
      <w:proofErr w:type="spellEnd"/>
      <w:r>
        <w:t xml:space="preserve">, 2004). Sometimes, listeners need to </w:t>
      </w:r>
      <w:proofErr w:type="spellStart"/>
      <w:r>
        <w:t>utilise</w:t>
      </w:r>
      <w:proofErr w:type="spellEnd"/>
      <w:r>
        <w:t xml:space="preserve"> culturally pragmatic knowledge to make inferences, and to determine the speaker’s implied meaning (Vandergrift, 2007). In connection to native speakers, regional accents also affect listeners’ comprehension of the spoken messages. These linguistic features should be taken into consideration when assessing the challenges of teaching second/foreign language</w:t>
      </w:r>
      <w:r>
        <w:rPr>
          <w:spacing w:val="-4"/>
        </w:rPr>
        <w:t xml:space="preserve"> </w:t>
      </w:r>
      <w:r>
        <w:t>listening.</w:t>
      </w:r>
    </w:p>
    <w:p w:rsidR="007A0FE6" w:rsidRDefault="007A0FE6">
      <w:pPr>
        <w:pStyle w:val="BodyText"/>
        <w:spacing w:before="1"/>
      </w:pPr>
    </w:p>
    <w:p w:rsidR="007A0FE6" w:rsidRDefault="005C2DF8">
      <w:pPr>
        <w:pStyle w:val="Heading2"/>
      </w:pPr>
      <w:r>
        <w:t>The listening process</w:t>
      </w:r>
    </w:p>
    <w:p w:rsidR="007A0FE6" w:rsidRDefault="007A0FE6">
      <w:pPr>
        <w:pStyle w:val="BodyText"/>
        <w:rPr>
          <w:b/>
          <w:i/>
        </w:rPr>
      </w:pPr>
    </w:p>
    <w:p w:rsidR="007A0FE6" w:rsidRDefault="005C2DF8">
      <w:pPr>
        <w:pStyle w:val="BodyText"/>
        <w:ind w:left="220" w:right="213"/>
        <w:jc w:val="both"/>
      </w:pPr>
      <w:r>
        <w:t xml:space="preserve">The issue that should be taken into consideration when assessing the listening process is that verbal messages require immediate attention. </w:t>
      </w:r>
      <w:proofErr w:type="spellStart"/>
      <w:r>
        <w:t>Floyed</w:t>
      </w:r>
      <w:proofErr w:type="spellEnd"/>
      <w:r>
        <w:t xml:space="preserve"> (1985) defines listening as a process which involves hearing, attending, comprehending, evaluating, and giving responses to verbal messages. When the listening process is over, only a faint mental impression remains in the learner’s mind (Vandergrift, 2004). Unlike reading, listening requires instantaneous processing, with little or no chance to access the verbal language again, making listening more difficult to handle then reading. In most cases, language learners need to process the verbal message at a speed determined by the native speakers, which in generally quite fast (</w:t>
      </w:r>
      <w:proofErr w:type="spellStart"/>
      <w:r>
        <w:t>Osada</w:t>
      </w:r>
      <w:proofErr w:type="spellEnd"/>
      <w:r>
        <w:t>, 2004).</w:t>
      </w:r>
    </w:p>
    <w:p w:rsidR="007A0FE6" w:rsidRDefault="007A0FE6">
      <w:pPr>
        <w:pStyle w:val="BodyText"/>
        <w:spacing w:before="1"/>
      </w:pPr>
    </w:p>
    <w:p w:rsidR="007A0FE6" w:rsidRDefault="005C2DF8">
      <w:pPr>
        <w:pStyle w:val="BodyText"/>
        <w:ind w:left="220" w:right="213"/>
        <w:jc w:val="both"/>
      </w:pPr>
      <w:r>
        <w:t>The major differences between first and second language listening could be the native listeners are facing difficulties when they are distracted, disinterested, or responded to the verbal contents by thinking about something else. While the problems of the</w:t>
      </w:r>
    </w:p>
    <w:p w:rsidR="007A0FE6" w:rsidRDefault="007A0FE6">
      <w:pPr>
        <w:jc w:val="both"/>
        <w:sectPr w:rsidR="007A0FE6">
          <w:pgSz w:w="12240" w:h="15840"/>
          <w:pgMar w:top="1360" w:right="1580" w:bottom="1260" w:left="1580" w:header="0" w:footer="1061" w:gutter="0"/>
          <w:cols w:space="720"/>
        </w:sectPr>
      </w:pPr>
    </w:p>
    <w:p w:rsidR="007A0FE6" w:rsidRDefault="005C2DF8">
      <w:pPr>
        <w:pStyle w:val="BodyText"/>
        <w:spacing w:before="79"/>
        <w:ind w:left="220" w:right="216"/>
        <w:jc w:val="both"/>
      </w:pPr>
      <w:proofErr w:type="gramStart"/>
      <w:r>
        <w:t>second/foreign</w:t>
      </w:r>
      <w:proofErr w:type="gramEnd"/>
      <w:r>
        <w:t xml:space="preserve"> language listeners arise due to insufficient linguistic knowledge, a lack of knowledge of the second language socio-cultural contents, or a lack of pragmatic schemata that assist them to infer meaning from the verbal messages. Therefore, the pressure of the second/foreign language learners to manage all the structural, and grammatical obstacles when listening to verbal messages, combined with the fact that language learners need to accomplish all this in real time makes listening comprehension complex, dynamic, and fragile (Walker, 2014).</w:t>
      </w:r>
    </w:p>
    <w:p w:rsidR="007A0FE6" w:rsidRDefault="007A0FE6">
      <w:pPr>
        <w:pStyle w:val="BodyText"/>
      </w:pPr>
    </w:p>
    <w:p w:rsidR="007A0FE6" w:rsidRDefault="005C2DF8">
      <w:pPr>
        <w:pStyle w:val="Heading2"/>
      </w:pPr>
      <w:r>
        <w:t>The relationship between listening skill and the overall second language proficiency</w:t>
      </w:r>
    </w:p>
    <w:p w:rsidR="007A0FE6" w:rsidRDefault="007A0FE6">
      <w:pPr>
        <w:pStyle w:val="BodyText"/>
        <w:rPr>
          <w:b/>
          <w:i/>
        </w:rPr>
      </w:pPr>
    </w:p>
    <w:p w:rsidR="007A0FE6" w:rsidRDefault="005C2DF8">
      <w:pPr>
        <w:pStyle w:val="BodyText"/>
        <w:ind w:left="220" w:right="214"/>
        <w:jc w:val="both"/>
      </w:pPr>
      <w:r>
        <w:t xml:space="preserve">Second language acquisition involves four fundamental and interactive language skills: listening, speaking, reading, and writing. Language learners with good listening skills are able to participate effectively in communicative interaction, and they learn to speak, read, and write by listening to others (Brown, 2008; Lin, 2001). In the 1970s, the Communicative Language Teaching approach to language teaching was introduced to develop learners’ second/foreign language fluency. Some prominent researchers begin to highlight the significant impact of listening pedagogy in the ESL/EFL classroom. </w:t>
      </w:r>
      <w:proofErr w:type="spellStart"/>
      <w:r>
        <w:t>Krashen</w:t>
      </w:r>
      <w:proofErr w:type="spellEnd"/>
      <w:r>
        <w:t xml:space="preserve"> (1992) argues that second/foreign language acquisition depends on the bottom- up decoding process of making sense of the incoming messages. Second language acquisition cannot occur without the learners’ contact with comprehensible language (</w:t>
      </w:r>
      <w:proofErr w:type="spellStart"/>
      <w:r>
        <w:t>Rost</w:t>
      </w:r>
      <w:proofErr w:type="spellEnd"/>
      <w:r>
        <w:t xml:space="preserve">, 1994). </w:t>
      </w:r>
      <w:proofErr w:type="spellStart"/>
      <w:r>
        <w:t>Hunsaker</w:t>
      </w:r>
      <w:proofErr w:type="spellEnd"/>
      <w:r>
        <w:t xml:space="preserve"> (1990) concludes that more than 80% of human learning transpires through</w:t>
      </w:r>
      <w:r>
        <w:rPr>
          <w:spacing w:val="-1"/>
        </w:rPr>
        <w:t xml:space="preserve"> </w:t>
      </w:r>
      <w:r>
        <w:t>listening.</w:t>
      </w:r>
    </w:p>
    <w:p w:rsidR="007A0FE6" w:rsidRDefault="007A0FE6">
      <w:pPr>
        <w:pStyle w:val="BodyText"/>
        <w:spacing w:before="1"/>
      </w:pPr>
    </w:p>
    <w:p w:rsidR="007A0FE6" w:rsidRDefault="005C2DF8">
      <w:pPr>
        <w:pStyle w:val="BodyText"/>
        <w:ind w:left="220" w:right="212"/>
        <w:jc w:val="both"/>
      </w:pPr>
      <w:r>
        <w:t xml:space="preserve">Thus, it is on this basis that the present research </w:t>
      </w:r>
      <w:proofErr w:type="spellStart"/>
      <w:r>
        <w:t>emphasises</w:t>
      </w:r>
      <w:proofErr w:type="spellEnd"/>
      <w:r>
        <w:t xml:space="preserve"> the significant impact of listening skills on learners’ second/foreign language proficiency. However, not many studies have focused on the effects of listening skills on second/foreign language proficiency. Among them, </w:t>
      </w:r>
      <w:proofErr w:type="spellStart"/>
      <w:r>
        <w:t>Merbaum</w:t>
      </w:r>
      <w:proofErr w:type="spellEnd"/>
      <w:r>
        <w:t xml:space="preserve"> (1998) uses listening skills to predict the acquisition of reading skills for first and second language child learners. However, as they progress, second language child learners generally fall behind in the areas of prosody and vocabulary. </w:t>
      </w:r>
      <w:proofErr w:type="spellStart"/>
      <w:r>
        <w:t>McCaulley</w:t>
      </w:r>
      <w:proofErr w:type="spellEnd"/>
      <w:r>
        <w:t xml:space="preserve"> (1992) shows that listening skills are moderately related to listening comprehension, but highly related to reading comprehension for elementary level children. Park (2006) found a positive correlation between listening and reading proficiencies among ESL university students; and it was related to their overall English language proficiency. </w:t>
      </w:r>
      <w:proofErr w:type="spellStart"/>
      <w:r>
        <w:t>Bozorgian</w:t>
      </w:r>
      <w:proofErr w:type="spellEnd"/>
      <w:r>
        <w:t xml:space="preserve"> (2012a, 2012b) who examined the relationship of listening proficiency and overall language proficiency among EFL Iranian university students, found a moderate correlation between reading and writing proficiencies. He also found and a high correlation between listening and reading proficiencies. Thus, based on previous research, it can be argued that there is limited literature on the effects of listening proficiency on the proficiencies of three other language skills, and the overall language proficiency, in first language research at large, and second/foreign language research in</w:t>
      </w:r>
      <w:r>
        <w:rPr>
          <w:spacing w:val="-1"/>
        </w:rPr>
        <w:t xml:space="preserve"> </w:t>
      </w:r>
      <w:r>
        <w:t>particular.</w:t>
      </w:r>
    </w:p>
    <w:p w:rsidR="007A0FE6" w:rsidRDefault="007A0FE6">
      <w:pPr>
        <w:jc w:val="both"/>
        <w:sectPr w:rsidR="007A0FE6">
          <w:pgSz w:w="12240" w:h="15840"/>
          <w:pgMar w:top="1360" w:right="1580" w:bottom="1260" w:left="1580" w:header="0" w:footer="1061" w:gutter="0"/>
          <w:cols w:space="720"/>
        </w:sectPr>
      </w:pPr>
    </w:p>
    <w:p w:rsidR="007A0FE6" w:rsidRDefault="005C2DF8">
      <w:pPr>
        <w:pStyle w:val="Heading1"/>
        <w:spacing w:before="79"/>
        <w:jc w:val="both"/>
      </w:pPr>
      <w:r>
        <w:t>Research questions</w:t>
      </w:r>
    </w:p>
    <w:p w:rsidR="007A0FE6" w:rsidRDefault="007A0FE6">
      <w:pPr>
        <w:pStyle w:val="BodyText"/>
        <w:rPr>
          <w:b/>
        </w:rPr>
      </w:pPr>
    </w:p>
    <w:p w:rsidR="007A0FE6" w:rsidRDefault="005C2DF8">
      <w:pPr>
        <w:pStyle w:val="BodyText"/>
        <w:ind w:left="220"/>
        <w:jc w:val="both"/>
      </w:pPr>
      <w:r>
        <w:t>The present research set out to answer the following questions:</w:t>
      </w:r>
    </w:p>
    <w:p w:rsidR="007A0FE6" w:rsidRDefault="005C2DF8">
      <w:pPr>
        <w:pStyle w:val="BodyText"/>
        <w:ind w:left="220" w:right="217"/>
        <w:jc w:val="both"/>
      </w:pPr>
      <w:r>
        <w:rPr>
          <w:i/>
        </w:rPr>
        <w:t>Research Question 1</w:t>
      </w:r>
      <w:r>
        <w:rPr>
          <w:b/>
        </w:rPr>
        <w:t xml:space="preserve">: </w:t>
      </w:r>
      <w:r>
        <w:t>What are the statistical effects of listening comprehension on the overall performances of ESL learners’ language proficiency measured by a sample IELTS language proficiency</w:t>
      </w:r>
      <w:r>
        <w:rPr>
          <w:spacing w:val="-5"/>
        </w:rPr>
        <w:t xml:space="preserve"> </w:t>
      </w:r>
      <w:r>
        <w:t>test?</w:t>
      </w:r>
    </w:p>
    <w:p w:rsidR="007A0FE6" w:rsidRDefault="005C2DF8">
      <w:pPr>
        <w:pStyle w:val="BodyText"/>
        <w:ind w:left="220" w:right="217"/>
        <w:jc w:val="both"/>
      </w:pPr>
      <w:r>
        <w:rPr>
          <w:i/>
        </w:rPr>
        <w:t>Research Question 2</w:t>
      </w:r>
      <w:r>
        <w:rPr>
          <w:b/>
        </w:rPr>
        <w:t xml:space="preserve">: </w:t>
      </w:r>
      <w:r>
        <w:t>What are the correlations of the four language skills measured by a sample IELTS language proficiency test?</w:t>
      </w:r>
    </w:p>
    <w:p w:rsidR="007A0FE6" w:rsidRDefault="005C2DF8">
      <w:pPr>
        <w:pStyle w:val="BodyText"/>
        <w:ind w:left="220" w:right="218"/>
        <w:jc w:val="both"/>
      </w:pPr>
      <w:r>
        <w:rPr>
          <w:i/>
        </w:rPr>
        <w:t>Research Question 3</w:t>
      </w:r>
      <w:r>
        <w:t>: How do rural secondary students perceive English language listening comprehension tasks?</w:t>
      </w:r>
    </w:p>
    <w:p w:rsidR="007A0FE6" w:rsidRDefault="007A0FE6">
      <w:pPr>
        <w:pStyle w:val="BodyText"/>
        <w:rPr>
          <w:sz w:val="26"/>
        </w:rPr>
      </w:pPr>
    </w:p>
    <w:p w:rsidR="007A0FE6" w:rsidRDefault="007A0FE6">
      <w:pPr>
        <w:pStyle w:val="BodyText"/>
        <w:rPr>
          <w:sz w:val="22"/>
        </w:rPr>
      </w:pPr>
    </w:p>
    <w:p w:rsidR="007A0FE6" w:rsidRDefault="005C2DF8">
      <w:pPr>
        <w:pStyle w:val="Heading1"/>
        <w:spacing w:before="1"/>
        <w:jc w:val="both"/>
      </w:pPr>
      <w:r>
        <w:t>Research methods</w:t>
      </w:r>
    </w:p>
    <w:p w:rsidR="007A0FE6" w:rsidRDefault="007A0FE6">
      <w:pPr>
        <w:pStyle w:val="BodyText"/>
        <w:rPr>
          <w:b/>
        </w:rPr>
      </w:pPr>
    </w:p>
    <w:p w:rsidR="007A0FE6" w:rsidRDefault="005C2DF8">
      <w:pPr>
        <w:pStyle w:val="Heading2"/>
        <w:jc w:val="left"/>
      </w:pPr>
      <w:r>
        <w:t>Participants</w:t>
      </w:r>
    </w:p>
    <w:p w:rsidR="007A0FE6" w:rsidRDefault="007A0FE6">
      <w:pPr>
        <w:pStyle w:val="BodyText"/>
        <w:rPr>
          <w:b/>
          <w:i/>
        </w:rPr>
      </w:pPr>
    </w:p>
    <w:p w:rsidR="007A0FE6" w:rsidRDefault="005C2DF8">
      <w:pPr>
        <w:pStyle w:val="BodyText"/>
        <w:ind w:left="220" w:right="214"/>
        <w:jc w:val="both"/>
      </w:pPr>
      <w:r>
        <w:t>An intact class of students was selected based on purposive sampling procedures. The participants of this study were 26 male and female students from a Malaysian rural secondary school. They were 15-16 year old Form 4 students from a rural town in Perak, Malaysia. They were chosen as the participants of this study, because most of them cannot comprehend aural/oral English, and they experience very limited English listening/speaking opportunities outside the classroom. The participants come from various first language backgrounds. They are pre-intermediate and intermediate English language proficiency levels</w:t>
      </w:r>
      <w:r>
        <w:rPr>
          <w:spacing w:val="-5"/>
        </w:rPr>
        <w:t xml:space="preserve"> </w:t>
      </w:r>
      <w:r>
        <w:t>learners.</w:t>
      </w:r>
    </w:p>
    <w:p w:rsidR="007A0FE6" w:rsidRDefault="007A0FE6">
      <w:pPr>
        <w:pStyle w:val="BodyText"/>
      </w:pPr>
    </w:p>
    <w:p w:rsidR="007A0FE6" w:rsidRDefault="005C2DF8">
      <w:pPr>
        <w:pStyle w:val="BodyText"/>
        <w:ind w:left="220" w:right="215"/>
        <w:jc w:val="both"/>
      </w:pPr>
      <w:r>
        <w:t>Initially, these 26 participants took part in a focus group questionnaire survey. The survey findings showed that only 30% of the participants could afford to attend pre-schools, or kindergartens, and they started learning English at the age of four. 70% of the participants started learning English at the age of six from primary schools. About 96% of the participants reported that learning resources were provided by the teachers in the form of greetings, sample dialogues from text books, and nursery rhymes. Only 4% of the participants reported learning English from watching the television, listening to songs, or speaking to family members, and friends who are fluent English speakers.</w:t>
      </w:r>
    </w:p>
    <w:p w:rsidR="007A0FE6" w:rsidRDefault="007A0FE6">
      <w:pPr>
        <w:pStyle w:val="BodyText"/>
        <w:spacing w:before="1"/>
      </w:pPr>
    </w:p>
    <w:p w:rsidR="007A0FE6" w:rsidRDefault="005C2DF8">
      <w:pPr>
        <w:pStyle w:val="BodyText"/>
        <w:ind w:left="220" w:right="216"/>
        <w:jc w:val="both"/>
      </w:pPr>
      <w:r>
        <w:t>Despite the fact that they started learning English early from formal educational settings, they are still lacking in English listening and speaking skills. The survey findings showed that except a few of them who have opportunities to learn English from watching television, listening to songs, or speaking to family members and friends who are fluent English speakers, most of the participants do not have the opportunities to practice listening, and speaking skills, and to negotiate meaning from aural/oral messages. It also showed that listening is an active process that requires the participants’ motivation, and engagement.</w:t>
      </w:r>
    </w:p>
    <w:p w:rsidR="007A0FE6" w:rsidRDefault="007A0FE6">
      <w:pPr>
        <w:jc w:val="both"/>
        <w:sectPr w:rsidR="007A0FE6">
          <w:pgSz w:w="12240" w:h="15840"/>
          <w:pgMar w:top="1360" w:right="1580" w:bottom="1260" w:left="1580" w:header="0" w:footer="1061" w:gutter="0"/>
          <w:cols w:space="720"/>
        </w:sectPr>
      </w:pPr>
    </w:p>
    <w:p w:rsidR="007A0FE6" w:rsidRDefault="005C2DF8">
      <w:pPr>
        <w:pStyle w:val="Heading2"/>
        <w:spacing w:before="79"/>
        <w:jc w:val="left"/>
      </w:pPr>
      <w:r>
        <w:t>Materials</w:t>
      </w:r>
    </w:p>
    <w:p w:rsidR="007A0FE6" w:rsidRDefault="007A0FE6">
      <w:pPr>
        <w:pStyle w:val="BodyText"/>
        <w:rPr>
          <w:b/>
          <w:i/>
        </w:rPr>
      </w:pPr>
    </w:p>
    <w:p w:rsidR="007A0FE6" w:rsidRDefault="005C2DF8">
      <w:pPr>
        <w:pStyle w:val="BodyText"/>
        <w:ind w:left="220" w:right="215"/>
        <w:jc w:val="both"/>
      </w:pPr>
      <w:r>
        <w:t>This study utilized ESL listening materials from the Learn English / British Council website (</w:t>
      </w:r>
      <w:hyperlink r:id="rId7">
        <w:r>
          <w:t>http://learnenglish.britishcouncil.org/en/listen-and-watch).</w:t>
        </w:r>
      </w:hyperlink>
      <w:r>
        <w:t xml:space="preserve"> The ESL listening materials from this website are graded to A1/A2, B1/B2, and C1/C2 levels, according to Common European Framework Reference (CEFR). The ESL listening materials are designed with good sound tracks, and clear pronunciation. The listening passages included general interest topics that do not require </w:t>
      </w:r>
      <w:proofErr w:type="spellStart"/>
      <w:r>
        <w:t>specialised</w:t>
      </w:r>
      <w:proofErr w:type="spellEnd"/>
      <w:r>
        <w:t xml:space="preserve"> prior knowledge. They are designed with sound tracks, pre-listening, and post-listening</w:t>
      </w:r>
      <w:r>
        <w:rPr>
          <w:spacing w:val="-2"/>
        </w:rPr>
        <w:t xml:space="preserve"> </w:t>
      </w:r>
      <w:r>
        <w:t>activities.</w:t>
      </w:r>
    </w:p>
    <w:p w:rsidR="007A0FE6" w:rsidRDefault="007A0FE6">
      <w:pPr>
        <w:pStyle w:val="BodyText"/>
        <w:spacing w:before="2"/>
      </w:pPr>
    </w:p>
    <w:p w:rsidR="007A0FE6" w:rsidRDefault="005C2DF8">
      <w:pPr>
        <w:ind w:left="220"/>
        <w:jc w:val="both"/>
        <w:rPr>
          <w:sz w:val="20"/>
        </w:rPr>
      </w:pPr>
      <w:proofErr w:type="gramStart"/>
      <w:r>
        <w:rPr>
          <w:sz w:val="20"/>
        </w:rPr>
        <w:t>Table 1.</w:t>
      </w:r>
      <w:proofErr w:type="gramEnd"/>
      <w:r>
        <w:rPr>
          <w:sz w:val="20"/>
        </w:rPr>
        <w:t xml:space="preserve"> The ESL listening materials from Learn English / British Council website</w:t>
      </w:r>
    </w:p>
    <w:tbl>
      <w:tblPr>
        <w:tblW w:w="0" w:type="auto"/>
        <w:tblInd w:w="112" w:type="dxa"/>
        <w:tblLayout w:type="fixed"/>
        <w:tblCellMar>
          <w:left w:w="0" w:type="dxa"/>
          <w:right w:w="0" w:type="dxa"/>
        </w:tblCellMar>
        <w:tblLook w:val="01E0"/>
      </w:tblPr>
      <w:tblGrid>
        <w:gridCol w:w="553"/>
        <w:gridCol w:w="1589"/>
        <w:gridCol w:w="3367"/>
        <w:gridCol w:w="3355"/>
      </w:tblGrid>
      <w:tr w:rsidR="007A0FE6">
        <w:trPr>
          <w:trHeight w:val="229"/>
        </w:trPr>
        <w:tc>
          <w:tcPr>
            <w:tcW w:w="553" w:type="dxa"/>
            <w:tcBorders>
              <w:top w:val="single" w:sz="12" w:space="0" w:color="000000"/>
              <w:bottom w:val="single" w:sz="12" w:space="0" w:color="000000"/>
            </w:tcBorders>
          </w:tcPr>
          <w:p w:rsidR="007A0FE6" w:rsidRDefault="005C2DF8">
            <w:pPr>
              <w:pStyle w:val="TableParagraph"/>
              <w:spacing w:line="209" w:lineRule="exact"/>
              <w:ind w:left="118" w:right="99"/>
              <w:jc w:val="center"/>
              <w:rPr>
                <w:sz w:val="20"/>
              </w:rPr>
            </w:pPr>
            <w:r>
              <w:rPr>
                <w:sz w:val="20"/>
              </w:rPr>
              <w:t>No.</w:t>
            </w:r>
          </w:p>
        </w:tc>
        <w:tc>
          <w:tcPr>
            <w:tcW w:w="1589" w:type="dxa"/>
            <w:tcBorders>
              <w:top w:val="single" w:sz="12" w:space="0" w:color="000000"/>
              <w:bottom w:val="single" w:sz="12" w:space="0" w:color="000000"/>
            </w:tcBorders>
          </w:tcPr>
          <w:p w:rsidR="007A0FE6" w:rsidRDefault="005C2DF8">
            <w:pPr>
              <w:pStyle w:val="TableParagraph"/>
              <w:spacing w:line="209" w:lineRule="exact"/>
              <w:ind w:left="572" w:right="521"/>
              <w:jc w:val="center"/>
              <w:rPr>
                <w:sz w:val="20"/>
              </w:rPr>
            </w:pPr>
            <w:r>
              <w:rPr>
                <w:sz w:val="20"/>
              </w:rPr>
              <w:t>Titles</w:t>
            </w:r>
          </w:p>
        </w:tc>
        <w:tc>
          <w:tcPr>
            <w:tcW w:w="3367" w:type="dxa"/>
            <w:tcBorders>
              <w:top w:val="single" w:sz="12" w:space="0" w:color="000000"/>
              <w:bottom w:val="single" w:sz="12" w:space="0" w:color="000000"/>
            </w:tcBorders>
          </w:tcPr>
          <w:p w:rsidR="007A0FE6" w:rsidRDefault="005C2DF8">
            <w:pPr>
              <w:pStyle w:val="TableParagraph"/>
              <w:spacing w:line="209" w:lineRule="exact"/>
              <w:ind w:left="985"/>
              <w:rPr>
                <w:sz w:val="20"/>
              </w:rPr>
            </w:pPr>
            <w:r>
              <w:rPr>
                <w:sz w:val="20"/>
              </w:rPr>
              <w:t>Audio Hyperlinks</w:t>
            </w:r>
          </w:p>
        </w:tc>
        <w:tc>
          <w:tcPr>
            <w:tcW w:w="3355" w:type="dxa"/>
            <w:tcBorders>
              <w:top w:val="single" w:sz="12" w:space="0" w:color="000000"/>
              <w:bottom w:val="single" w:sz="12" w:space="0" w:color="000000"/>
            </w:tcBorders>
          </w:tcPr>
          <w:p w:rsidR="007A0FE6" w:rsidRDefault="005C2DF8">
            <w:pPr>
              <w:pStyle w:val="TableParagraph"/>
              <w:spacing w:line="209" w:lineRule="exact"/>
              <w:ind w:left="887"/>
              <w:rPr>
                <w:sz w:val="20"/>
              </w:rPr>
            </w:pPr>
            <w:r>
              <w:rPr>
                <w:sz w:val="20"/>
              </w:rPr>
              <w:t>Listening Activities</w:t>
            </w:r>
          </w:p>
        </w:tc>
      </w:tr>
      <w:tr w:rsidR="007A0FE6">
        <w:trPr>
          <w:trHeight w:val="695"/>
        </w:trPr>
        <w:tc>
          <w:tcPr>
            <w:tcW w:w="553" w:type="dxa"/>
            <w:tcBorders>
              <w:top w:val="single" w:sz="12" w:space="0" w:color="000000"/>
            </w:tcBorders>
          </w:tcPr>
          <w:p w:rsidR="007A0FE6" w:rsidRDefault="005C2DF8">
            <w:pPr>
              <w:pStyle w:val="TableParagraph"/>
              <w:ind w:left="17"/>
              <w:jc w:val="center"/>
              <w:rPr>
                <w:sz w:val="20"/>
              </w:rPr>
            </w:pPr>
            <w:r>
              <w:rPr>
                <w:w w:val="99"/>
                <w:sz w:val="20"/>
              </w:rPr>
              <w:t>1</w:t>
            </w:r>
          </w:p>
        </w:tc>
        <w:tc>
          <w:tcPr>
            <w:tcW w:w="1589" w:type="dxa"/>
            <w:tcBorders>
              <w:top w:val="single" w:sz="12" w:space="0" w:color="000000"/>
            </w:tcBorders>
          </w:tcPr>
          <w:p w:rsidR="007A0FE6" w:rsidRDefault="005C2DF8">
            <w:pPr>
              <w:pStyle w:val="TableParagraph"/>
              <w:ind w:left="118"/>
              <w:rPr>
                <w:sz w:val="20"/>
              </w:rPr>
            </w:pPr>
            <w:r>
              <w:rPr>
                <w:sz w:val="20"/>
              </w:rPr>
              <w:t>Scarlett</w:t>
            </w:r>
          </w:p>
        </w:tc>
        <w:tc>
          <w:tcPr>
            <w:tcW w:w="3367" w:type="dxa"/>
            <w:tcBorders>
              <w:top w:val="single" w:sz="12" w:space="0" w:color="000000"/>
            </w:tcBorders>
          </w:tcPr>
          <w:p w:rsidR="007A0FE6" w:rsidRDefault="00D955F1">
            <w:pPr>
              <w:pStyle w:val="TableParagraph"/>
              <w:ind w:left="149" w:right="115"/>
              <w:rPr>
                <w:sz w:val="20"/>
              </w:rPr>
            </w:pPr>
            <w:hyperlink r:id="rId8">
              <w:r w:rsidR="005C2DF8">
                <w:rPr>
                  <w:w w:val="95"/>
                  <w:sz w:val="20"/>
                </w:rPr>
                <w:t>http://c0953132.cdn.cloudfiles.rackspa</w:t>
              </w:r>
            </w:hyperlink>
            <w:r w:rsidR="005C2DF8">
              <w:rPr>
                <w:w w:val="95"/>
                <w:sz w:val="20"/>
              </w:rPr>
              <w:t xml:space="preserve"> </w:t>
            </w:r>
            <w:hyperlink r:id="rId9">
              <w:r w:rsidR="005C2DF8">
                <w:rPr>
                  <w:sz w:val="20"/>
                </w:rPr>
                <w:t>cecloud.com/stories-scarlett.mp3</w:t>
              </w:r>
            </w:hyperlink>
          </w:p>
        </w:tc>
        <w:tc>
          <w:tcPr>
            <w:tcW w:w="3355" w:type="dxa"/>
            <w:tcBorders>
              <w:top w:val="single" w:sz="12" w:space="0" w:color="000000"/>
            </w:tcBorders>
          </w:tcPr>
          <w:p w:rsidR="007A0FE6" w:rsidRDefault="00D955F1">
            <w:pPr>
              <w:pStyle w:val="TableParagraph"/>
              <w:ind w:left="115" w:right="120"/>
              <w:rPr>
                <w:sz w:val="20"/>
              </w:rPr>
            </w:pPr>
            <w:hyperlink r:id="rId10">
              <w:r w:rsidR="005C2DF8">
                <w:rPr>
                  <w:w w:val="95"/>
                  <w:sz w:val="20"/>
                </w:rPr>
                <w:t>http://learnenglish.britishcouncil.org/si</w:t>
              </w:r>
            </w:hyperlink>
            <w:r w:rsidR="005C2DF8">
              <w:rPr>
                <w:w w:val="95"/>
                <w:sz w:val="20"/>
              </w:rPr>
              <w:t xml:space="preserve"> </w:t>
            </w:r>
            <w:hyperlink r:id="rId11">
              <w:proofErr w:type="spellStart"/>
              <w:r w:rsidR="005C2DF8">
                <w:rPr>
                  <w:sz w:val="20"/>
                </w:rPr>
                <w:t>tes</w:t>
              </w:r>
              <w:proofErr w:type="spellEnd"/>
              <w:r w:rsidR="005C2DF8">
                <w:rPr>
                  <w:sz w:val="20"/>
                </w:rPr>
                <w:t>/podcasts/files/</w:t>
              </w:r>
              <w:proofErr w:type="spellStart"/>
              <w:r w:rsidR="005C2DF8">
                <w:rPr>
                  <w:sz w:val="20"/>
                </w:rPr>
                <w:t>LearnEnglish_story</w:t>
              </w:r>
              <w:proofErr w:type="spellEnd"/>
              <w:r w:rsidR="005C2DF8">
                <w:rPr>
                  <w:sz w:val="20"/>
                </w:rPr>
                <w:t>_</w:t>
              </w:r>
            </w:hyperlink>
          </w:p>
          <w:p w:rsidR="007A0FE6" w:rsidRDefault="00D955F1">
            <w:pPr>
              <w:pStyle w:val="TableParagraph"/>
              <w:spacing w:before="1" w:line="215" w:lineRule="exact"/>
              <w:ind w:left="115"/>
              <w:rPr>
                <w:sz w:val="20"/>
              </w:rPr>
            </w:pPr>
            <w:hyperlink r:id="rId12">
              <w:r w:rsidR="005C2DF8">
                <w:rPr>
                  <w:sz w:val="20"/>
                </w:rPr>
                <w:t>Scarlett.pdf</w:t>
              </w:r>
            </w:hyperlink>
          </w:p>
        </w:tc>
      </w:tr>
      <w:tr w:rsidR="007A0FE6">
        <w:trPr>
          <w:trHeight w:val="919"/>
        </w:trPr>
        <w:tc>
          <w:tcPr>
            <w:tcW w:w="553" w:type="dxa"/>
          </w:tcPr>
          <w:p w:rsidR="007A0FE6" w:rsidRDefault="005C2DF8">
            <w:pPr>
              <w:pStyle w:val="TableParagraph"/>
              <w:spacing w:line="226" w:lineRule="exact"/>
              <w:ind w:left="17"/>
              <w:jc w:val="center"/>
              <w:rPr>
                <w:sz w:val="20"/>
              </w:rPr>
            </w:pPr>
            <w:r>
              <w:rPr>
                <w:w w:val="99"/>
                <w:sz w:val="20"/>
              </w:rPr>
              <w:t>2</w:t>
            </w:r>
          </w:p>
        </w:tc>
        <w:tc>
          <w:tcPr>
            <w:tcW w:w="1589" w:type="dxa"/>
          </w:tcPr>
          <w:p w:rsidR="007A0FE6" w:rsidRDefault="005C2DF8">
            <w:pPr>
              <w:pStyle w:val="TableParagraph"/>
              <w:ind w:left="118" w:right="312"/>
              <w:rPr>
                <w:sz w:val="20"/>
              </w:rPr>
            </w:pPr>
            <w:r>
              <w:rPr>
                <w:sz w:val="20"/>
              </w:rPr>
              <w:t>Alberto’s new neighbor</w:t>
            </w:r>
          </w:p>
        </w:tc>
        <w:tc>
          <w:tcPr>
            <w:tcW w:w="3367" w:type="dxa"/>
          </w:tcPr>
          <w:p w:rsidR="007A0FE6" w:rsidRDefault="00D955F1">
            <w:pPr>
              <w:pStyle w:val="TableParagraph"/>
              <w:ind w:left="149" w:right="115"/>
              <w:rPr>
                <w:sz w:val="20"/>
              </w:rPr>
            </w:pPr>
            <w:hyperlink r:id="rId13">
              <w:r w:rsidR="005C2DF8">
                <w:rPr>
                  <w:w w:val="95"/>
                  <w:sz w:val="20"/>
                </w:rPr>
                <w:t>http://c0953132.cdn.cloudfiles.rackspa</w:t>
              </w:r>
            </w:hyperlink>
            <w:r w:rsidR="005C2DF8">
              <w:rPr>
                <w:w w:val="95"/>
                <w:sz w:val="20"/>
              </w:rPr>
              <w:t xml:space="preserve"> </w:t>
            </w:r>
            <w:hyperlink r:id="rId14">
              <w:r w:rsidR="005C2DF8">
                <w:rPr>
                  <w:sz w:val="20"/>
                </w:rPr>
                <w:t>cecloud.com/stories-</w:t>
              </w:r>
              <w:proofErr w:type="spellStart"/>
              <w:r w:rsidR="005C2DF8">
                <w:rPr>
                  <w:sz w:val="20"/>
                </w:rPr>
                <w:t>albertos</w:t>
              </w:r>
              <w:proofErr w:type="spellEnd"/>
              <w:r w:rsidR="005C2DF8">
                <w:rPr>
                  <w:sz w:val="20"/>
                </w:rPr>
                <w:t>-new-</w:t>
              </w:r>
            </w:hyperlink>
            <w:r w:rsidR="005C2DF8">
              <w:rPr>
                <w:sz w:val="20"/>
              </w:rPr>
              <w:t xml:space="preserve"> </w:t>
            </w:r>
            <w:hyperlink r:id="rId15">
              <w:r w:rsidR="005C2DF8">
                <w:rPr>
                  <w:sz w:val="20"/>
                </w:rPr>
                <w:t>neighbours.mp3</w:t>
              </w:r>
            </w:hyperlink>
          </w:p>
        </w:tc>
        <w:tc>
          <w:tcPr>
            <w:tcW w:w="3355" w:type="dxa"/>
          </w:tcPr>
          <w:p w:rsidR="007A0FE6" w:rsidRDefault="00D955F1">
            <w:pPr>
              <w:pStyle w:val="TableParagraph"/>
              <w:ind w:left="115" w:right="132"/>
              <w:rPr>
                <w:sz w:val="20"/>
              </w:rPr>
            </w:pPr>
            <w:hyperlink r:id="rId16">
              <w:r w:rsidR="005C2DF8">
                <w:rPr>
                  <w:w w:val="95"/>
                  <w:sz w:val="20"/>
                </w:rPr>
                <w:t>http://learnenglish.britishcouncil.org/si</w:t>
              </w:r>
            </w:hyperlink>
            <w:r w:rsidR="005C2DF8">
              <w:rPr>
                <w:w w:val="95"/>
                <w:sz w:val="20"/>
              </w:rPr>
              <w:t xml:space="preserve"> </w:t>
            </w:r>
            <w:hyperlink r:id="rId17">
              <w:proofErr w:type="spellStart"/>
              <w:r w:rsidR="005C2DF8">
                <w:rPr>
                  <w:sz w:val="20"/>
                </w:rPr>
                <w:t>tes</w:t>
              </w:r>
              <w:proofErr w:type="spellEnd"/>
              <w:r w:rsidR="005C2DF8">
                <w:rPr>
                  <w:sz w:val="20"/>
                </w:rPr>
                <w:t>/podcasts/files/</w:t>
              </w:r>
              <w:proofErr w:type="spellStart"/>
              <w:r w:rsidR="005C2DF8">
                <w:rPr>
                  <w:sz w:val="20"/>
                </w:rPr>
                <w:t>learnenglish</w:t>
              </w:r>
              <w:proofErr w:type="spellEnd"/>
              <w:r w:rsidR="005C2DF8">
                <w:rPr>
                  <w:sz w:val="20"/>
                </w:rPr>
                <w:t>-stories-</w:t>
              </w:r>
            </w:hyperlink>
          </w:p>
          <w:p w:rsidR="007A0FE6" w:rsidRDefault="00D955F1">
            <w:pPr>
              <w:pStyle w:val="TableParagraph"/>
              <w:spacing w:before="1" w:line="228" w:lineRule="exact"/>
              <w:ind w:left="115"/>
              <w:rPr>
                <w:sz w:val="20"/>
              </w:rPr>
            </w:pPr>
            <w:hyperlink r:id="rId18">
              <w:proofErr w:type="spellStart"/>
              <w:r w:rsidR="005C2DF8">
                <w:rPr>
                  <w:w w:val="95"/>
                  <w:sz w:val="20"/>
                </w:rPr>
                <w:t>albertos</w:t>
              </w:r>
              <w:proofErr w:type="spellEnd"/>
              <w:r w:rsidR="005C2DF8">
                <w:rPr>
                  <w:w w:val="95"/>
                  <w:sz w:val="20"/>
                </w:rPr>
                <w:t>-new-</w:t>
              </w:r>
              <w:proofErr w:type="spellStart"/>
              <w:r w:rsidR="005C2DF8">
                <w:rPr>
                  <w:w w:val="95"/>
                  <w:sz w:val="20"/>
                </w:rPr>
                <w:t>neighbours</w:t>
              </w:r>
              <w:proofErr w:type="spellEnd"/>
              <w:r w:rsidR="005C2DF8">
                <w:rPr>
                  <w:w w:val="95"/>
                  <w:sz w:val="20"/>
                </w:rPr>
                <w:t>-support-</w:t>
              </w:r>
            </w:hyperlink>
            <w:r w:rsidR="005C2DF8">
              <w:rPr>
                <w:w w:val="95"/>
                <w:sz w:val="20"/>
              </w:rPr>
              <w:t xml:space="preserve"> </w:t>
            </w:r>
            <w:hyperlink r:id="rId19">
              <w:r w:rsidR="005C2DF8">
                <w:rPr>
                  <w:sz w:val="20"/>
                </w:rPr>
                <w:t>pack.pdf</w:t>
              </w:r>
            </w:hyperlink>
          </w:p>
        </w:tc>
      </w:tr>
      <w:tr w:rsidR="007A0FE6">
        <w:trPr>
          <w:trHeight w:val="691"/>
        </w:trPr>
        <w:tc>
          <w:tcPr>
            <w:tcW w:w="553" w:type="dxa"/>
          </w:tcPr>
          <w:p w:rsidR="007A0FE6" w:rsidRDefault="005C2DF8">
            <w:pPr>
              <w:pStyle w:val="TableParagraph"/>
              <w:spacing w:line="226" w:lineRule="exact"/>
              <w:ind w:left="17"/>
              <w:jc w:val="center"/>
              <w:rPr>
                <w:sz w:val="20"/>
              </w:rPr>
            </w:pPr>
            <w:r>
              <w:rPr>
                <w:w w:val="99"/>
                <w:sz w:val="20"/>
              </w:rPr>
              <w:t>3</w:t>
            </w:r>
          </w:p>
        </w:tc>
        <w:tc>
          <w:tcPr>
            <w:tcW w:w="1589" w:type="dxa"/>
          </w:tcPr>
          <w:p w:rsidR="007A0FE6" w:rsidRDefault="005C2DF8">
            <w:pPr>
              <w:pStyle w:val="TableParagraph"/>
              <w:spacing w:line="226" w:lineRule="exact"/>
              <w:ind w:left="118"/>
              <w:rPr>
                <w:sz w:val="20"/>
              </w:rPr>
            </w:pPr>
            <w:r>
              <w:rPr>
                <w:sz w:val="20"/>
              </w:rPr>
              <w:t>Coming back up</w:t>
            </w:r>
          </w:p>
        </w:tc>
        <w:tc>
          <w:tcPr>
            <w:tcW w:w="3367" w:type="dxa"/>
          </w:tcPr>
          <w:p w:rsidR="007A0FE6" w:rsidRDefault="00D955F1">
            <w:pPr>
              <w:pStyle w:val="TableParagraph"/>
              <w:ind w:left="149" w:right="112"/>
              <w:rPr>
                <w:sz w:val="20"/>
              </w:rPr>
            </w:pPr>
            <w:hyperlink r:id="rId20">
              <w:r w:rsidR="005C2DF8">
                <w:rPr>
                  <w:w w:val="95"/>
                  <w:sz w:val="20"/>
                </w:rPr>
                <w:t>http://c0953132.cdn.cloudfiles.rackspa</w:t>
              </w:r>
            </w:hyperlink>
            <w:r w:rsidR="005C2DF8">
              <w:rPr>
                <w:w w:val="95"/>
                <w:sz w:val="20"/>
              </w:rPr>
              <w:t xml:space="preserve"> </w:t>
            </w:r>
            <w:hyperlink r:id="rId21">
              <w:r w:rsidR="005C2DF8">
                <w:rPr>
                  <w:sz w:val="20"/>
                </w:rPr>
                <w:t>cecloud.com/stories-coming-back-</w:t>
              </w:r>
            </w:hyperlink>
          </w:p>
          <w:p w:rsidR="007A0FE6" w:rsidRDefault="00D955F1">
            <w:pPr>
              <w:pStyle w:val="TableParagraph"/>
              <w:spacing w:line="215" w:lineRule="exact"/>
              <w:ind w:left="149"/>
              <w:rPr>
                <w:sz w:val="20"/>
              </w:rPr>
            </w:pPr>
            <w:hyperlink r:id="rId22">
              <w:r w:rsidR="005C2DF8">
                <w:rPr>
                  <w:sz w:val="20"/>
                </w:rPr>
                <w:t>up.mp3</w:t>
              </w:r>
            </w:hyperlink>
          </w:p>
        </w:tc>
        <w:tc>
          <w:tcPr>
            <w:tcW w:w="3355" w:type="dxa"/>
          </w:tcPr>
          <w:p w:rsidR="007A0FE6" w:rsidRDefault="00D955F1">
            <w:pPr>
              <w:pStyle w:val="TableParagraph"/>
              <w:ind w:left="115" w:right="132"/>
              <w:rPr>
                <w:sz w:val="20"/>
              </w:rPr>
            </w:pPr>
            <w:hyperlink r:id="rId23">
              <w:r w:rsidR="005C2DF8">
                <w:rPr>
                  <w:w w:val="95"/>
                  <w:sz w:val="20"/>
                </w:rPr>
                <w:t>http://learnenglish.britishcouncil.org/si</w:t>
              </w:r>
            </w:hyperlink>
            <w:r w:rsidR="005C2DF8">
              <w:rPr>
                <w:w w:val="95"/>
                <w:sz w:val="20"/>
              </w:rPr>
              <w:t xml:space="preserve"> </w:t>
            </w:r>
            <w:hyperlink r:id="rId24">
              <w:proofErr w:type="spellStart"/>
              <w:r w:rsidR="005C2DF8">
                <w:rPr>
                  <w:sz w:val="20"/>
                </w:rPr>
                <w:t>tes</w:t>
              </w:r>
              <w:proofErr w:type="spellEnd"/>
              <w:r w:rsidR="005C2DF8">
                <w:rPr>
                  <w:sz w:val="20"/>
                </w:rPr>
                <w:t>/podcasts/files/Story-</w:t>
              </w:r>
            </w:hyperlink>
          </w:p>
          <w:p w:rsidR="007A0FE6" w:rsidRDefault="00D955F1">
            <w:pPr>
              <w:pStyle w:val="TableParagraph"/>
              <w:spacing w:line="215" w:lineRule="exact"/>
              <w:ind w:left="115"/>
              <w:rPr>
                <w:sz w:val="20"/>
              </w:rPr>
            </w:pPr>
            <w:hyperlink r:id="rId25">
              <w:r w:rsidR="005C2DF8">
                <w:rPr>
                  <w:sz w:val="20"/>
                </w:rPr>
                <w:t>Comingbackup.pdf</w:t>
              </w:r>
            </w:hyperlink>
          </w:p>
        </w:tc>
      </w:tr>
      <w:tr w:rsidR="007A0FE6">
        <w:trPr>
          <w:trHeight w:val="688"/>
        </w:trPr>
        <w:tc>
          <w:tcPr>
            <w:tcW w:w="553" w:type="dxa"/>
          </w:tcPr>
          <w:p w:rsidR="007A0FE6" w:rsidRDefault="005C2DF8">
            <w:pPr>
              <w:pStyle w:val="TableParagraph"/>
              <w:spacing w:line="226" w:lineRule="exact"/>
              <w:ind w:left="17"/>
              <w:jc w:val="center"/>
              <w:rPr>
                <w:sz w:val="20"/>
              </w:rPr>
            </w:pPr>
            <w:r>
              <w:rPr>
                <w:w w:val="99"/>
                <w:sz w:val="20"/>
              </w:rPr>
              <w:t>4</w:t>
            </w:r>
          </w:p>
        </w:tc>
        <w:tc>
          <w:tcPr>
            <w:tcW w:w="1589" w:type="dxa"/>
          </w:tcPr>
          <w:p w:rsidR="007A0FE6" w:rsidRDefault="005C2DF8">
            <w:pPr>
              <w:pStyle w:val="TableParagraph"/>
              <w:spacing w:line="237" w:lineRule="auto"/>
              <w:ind w:left="118" w:right="312"/>
              <w:rPr>
                <w:sz w:val="20"/>
              </w:rPr>
            </w:pPr>
            <w:r>
              <w:rPr>
                <w:sz w:val="20"/>
              </w:rPr>
              <w:t>Two peas in a pod</w:t>
            </w:r>
          </w:p>
        </w:tc>
        <w:tc>
          <w:tcPr>
            <w:tcW w:w="3367" w:type="dxa"/>
          </w:tcPr>
          <w:p w:rsidR="007A0FE6" w:rsidRDefault="00D955F1">
            <w:pPr>
              <w:pStyle w:val="TableParagraph"/>
              <w:spacing w:line="237" w:lineRule="auto"/>
              <w:ind w:left="149" w:right="115"/>
              <w:rPr>
                <w:sz w:val="20"/>
              </w:rPr>
            </w:pPr>
            <w:hyperlink r:id="rId26">
              <w:r w:rsidR="005C2DF8">
                <w:rPr>
                  <w:w w:val="95"/>
                  <w:sz w:val="20"/>
                </w:rPr>
                <w:t>http://c0953132.cdn.cloudfiles.rackspa</w:t>
              </w:r>
            </w:hyperlink>
            <w:r w:rsidR="005C2DF8">
              <w:rPr>
                <w:w w:val="95"/>
                <w:sz w:val="20"/>
              </w:rPr>
              <w:t xml:space="preserve"> </w:t>
            </w:r>
            <w:hyperlink r:id="rId27">
              <w:r w:rsidR="005C2DF8">
                <w:rPr>
                  <w:sz w:val="20"/>
                </w:rPr>
                <w:t>cecloud.com/stories-twins.mp3</w:t>
              </w:r>
            </w:hyperlink>
          </w:p>
        </w:tc>
        <w:tc>
          <w:tcPr>
            <w:tcW w:w="3355" w:type="dxa"/>
          </w:tcPr>
          <w:p w:rsidR="007A0FE6" w:rsidRDefault="00D955F1">
            <w:pPr>
              <w:pStyle w:val="TableParagraph"/>
              <w:spacing w:line="237" w:lineRule="auto"/>
              <w:ind w:left="115" w:right="132"/>
              <w:rPr>
                <w:sz w:val="20"/>
              </w:rPr>
            </w:pPr>
            <w:hyperlink r:id="rId28">
              <w:r w:rsidR="005C2DF8">
                <w:rPr>
                  <w:w w:val="95"/>
                  <w:sz w:val="20"/>
                </w:rPr>
                <w:t>http://learnenglish.britishcouncil.org/si</w:t>
              </w:r>
            </w:hyperlink>
            <w:r w:rsidR="005C2DF8">
              <w:rPr>
                <w:w w:val="95"/>
                <w:sz w:val="20"/>
              </w:rPr>
              <w:t xml:space="preserve"> </w:t>
            </w:r>
            <w:hyperlink r:id="rId29">
              <w:proofErr w:type="spellStart"/>
              <w:r w:rsidR="005C2DF8">
                <w:rPr>
                  <w:sz w:val="20"/>
                </w:rPr>
                <w:t>tes</w:t>
              </w:r>
              <w:proofErr w:type="spellEnd"/>
              <w:r w:rsidR="005C2DF8">
                <w:rPr>
                  <w:sz w:val="20"/>
                </w:rPr>
                <w:t>/podcasts/files/</w:t>
              </w:r>
              <w:proofErr w:type="spellStart"/>
              <w:r w:rsidR="005C2DF8">
                <w:rPr>
                  <w:sz w:val="20"/>
                </w:rPr>
                <w:t>learnenglish</w:t>
              </w:r>
              <w:proofErr w:type="spellEnd"/>
              <w:r w:rsidR="005C2DF8">
                <w:rPr>
                  <w:sz w:val="20"/>
                </w:rPr>
                <w:t>-stories-</w:t>
              </w:r>
            </w:hyperlink>
          </w:p>
          <w:p w:rsidR="007A0FE6" w:rsidRDefault="00D955F1">
            <w:pPr>
              <w:pStyle w:val="TableParagraph"/>
              <w:spacing w:line="215" w:lineRule="exact"/>
              <w:ind w:left="115"/>
              <w:rPr>
                <w:sz w:val="20"/>
              </w:rPr>
            </w:pPr>
            <w:hyperlink r:id="rId30">
              <w:r w:rsidR="005C2DF8">
                <w:rPr>
                  <w:sz w:val="20"/>
                </w:rPr>
                <w:t>two-peas-in-a-pod-support-pack.pdf</w:t>
              </w:r>
            </w:hyperlink>
          </w:p>
        </w:tc>
      </w:tr>
      <w:tr w:rsidR="007A0FE6">
        <w:trPr>
          <w:trHeight w:val="691"/>
        </w:trPr>
        <w:tc>
          <w:tcPr>
            <w:tcW w:w="553" w:type="dxa"/>
          </w:tcPr>
          <w:p w:rsidR="007A0FE6" w:rsidRDefault="005C2DF8">
            <w:pPr>
              <w:pStyle w:val="TableParagraph"/>
              <w:spacing w:line="226" w:lineRule="exact"/>
              <w:ind w:left="17"/>
              <w:jc w:val="center"/>
              <w:rPr>
                <w:sz w:val="20"/>
              </w:rPr>
            </w:pPr>
            <w:r>
              <w:rPr>
                <w:w w:val="99"/>
                <w:sz w:val="20"/>
              </w:rPr>
              <w:t>5</w:t>
            </w:r>
          </w:p>
        </w:tc>
        <w:tc>
          <w:tcPr>
            <w:tcW w:w="1589" w:type="dxa"/>
          </w:tcPr>
          <w:p w:rsidR="007A0FE6" w:rsidRDefault="005C2DF8">
            <w:pPr>
              <w:pStyle w:val="TableParagraph"/>
              <w:spacing w:line="226" w:lineRule="exact"/>
              <w:ind w:left="118"/>
              <w:rPr>
                <w:sz w:val="20"/>
              </w:rPr>
            </w:pPr>
            <w:r>
              <w:rPr>
                <w:sz w:val="20"/>
              </w:rPr>
              <w:t>April fool’s Day</w:t>
            </w:r>
          </w:p>
        </w:tc>
        <w:tc>
          <w:tcPr>
            <w:tcW w:w="3367" w:type="dxa"/>
          </w:tcPr>
          <w:p w:rsidR="007A0FE6" w:rsidRDefault="00D955F1">
            <w:pPr>
              <w:pStyle w:val="TableParagraph"/>
              <w:ind w:left="149" w:right="114"/>
              <w:rPr>
                <w:sz w:val="20"/>
              </w:rPr>
            </w:pPr>
            <w:hyperlink r:id="rId31">
              <w:r w:rsidR="005C2DF8">
                <w:rPr>
                  <w:w w:val="95"/>
                  <w:sz w:val="20"/>
                </w:rPr>
                <w:t>http://c0953132.cdn.cloudfiles.rackspa</w:t>
              </w:r>
            </w:hyperlink>
            <w:r w:rsidR="005C2DF8">
              <w:rPr>
                <w:w w:val="95"/>
                <w:sz w:val="20"/>
              </w:rPr>
              <w:t xml:space="preserve"> </w:t>
            </w:r>
            <w:hyperlink r:id="rId32">
              <w:r w:rsidR="005C2DF8">
                <w:rPr>
                  <w:sz w:val="20"/>
                </w:rPr>
                <w:t>cecloud.com/stories-</w:t>
              </w:r>
              <w:proofErr w:type="spellStart"/>
              <w:r w:rsidR="005C2DF8">
                <w:rPr>
                  <w:sz w:val="20"/>
                </w:rPr>
                <w:t>april</w:t>
              </w:r>
              <w:proofErr w:type="spellEnd"/>
              <w:r w:rsidR="005C2DF8">
                <w:rPr>
                  <w:sz w:val="20"/>
                </w:rPr>
                <w:t>-fools-</w:t>
              </w:r>
            </w:hyperlink>
          </w:p>
          <w:p w:rsidR="007A0FE6" w:rsidRDefault="00D955F1">
            <w:pPr>
              <w:pStyle w:val="TableParagraph"/>
              <w:spacing w:line="215" w:lineRule="exact"/>
              <w:ind w:left="149"/>
              <w:rPr>
                <w:sz w:val="20"/>
              </w:rPr>
            </w:pPr>
            <w:hyperlink r:id="rId33">
              <w:r w:rsidR="005C2DF8">
                <w:rPr>
                  <w:sz w:val="20"/>
                </w:rPr>
                <w:t>day.mp3</w:t>
              </w:r>
            </w:hyperlink>
          </w:p>
        </w:tc>
        <w:tc>
          <w:tcPr>
            <w:tcW w:w="3355" w:type="dxa"/>
          </w:tcPr>
          <w:p w:rsidR="007A0FE6" w:rsidRDefault="00D955F1">
            <w:pPr>
              <w:pStyle w:val="TableParagraph"/>
              <w:ind w:left="115" w:right="132"/>
              <w:rPr>
                <w:sz w:val="20"/>
              </w:rPr>
            </w:pPr>
            <w:hyperlink r:id="rId34">
              <w:r w:rsidR="005C2DF8">
                <w:rPr>
                  <w:w w:val="95"/>
                  <w:sz w:val="20"/>
                </w:rPr>
                <w:t>http://learnenglish.britishcouncil.org/si</w:t>
              </w:r>
            </w:hyperlink>
            <w:r w:rsidR="005C2DF8">
              <w:rPr>
                <w:w w:val="95"/>
                <w:sz w:val="20"/>
              </w:rPr>
              <w:t xml:space="preserve"> </w:t>
            </w:r>
            <w:hyperlink r:id="rId35">
              <w:proofErr w:type="spellStart"/>
              <w:r w:rsidR="005C2DF8">
                <w:rPr>
                  <w:sz w:val="20"/>
                </w:rPr>
                <w:t>tes</w:t>
              </w:r>
              <w:proofErr w:type="spellEnd"/>
              <w:r w:rsidR="005C2DF8">
                <w:rPr>
                  <w:sz w:val="20"/>
                </w:rPr>
                <w:t>/podcasts/files/</w:t>
              </w:r>
              <w:proofErr w:type="spellStart"/>
              <w:r w:rsidR="005C2DF8">
                <w:rPr>
                  <w:sz w:val="20"/>
                </w:rPr>
                <w:t>learnenglish</w:t>
              </w:r>
              <w:proofErr w:type="spellEnd"/>
              <w:r w:rsidR="005C2DF8">
                <w:rPr>
                  <w:sz w:val="20"/>
                </w:rPr>
                <w:t>-stories-</w:t>
              </w:r>
            </w:hyperlink>
          </w:p>
          <w:p w:rsidR="007A0FE6" w:rsidRDefault="00D955F1">
            <w:pPr>
              <w:pStyle w:val="TableParagraph"/>
              <w:spacing w:line="215" w:lineRule="exact"/>
              <w:ind w:left="115"/>
              <w:rPr>
                <w:sz w:val="20"/>
              </w:rPr>
            </w:pPr>
            <w:hyperlink r:id="rId36">
              <w:r w:rsidR="005C2DF8">
                <w:rPr>
                  <w:sz w:val="20"/>
                </w:rPr>
                <w:t>april-fool-support-pack_0.pdf</w:t>
              </w:r>
            </w:hyperlink>
          </w:p>
        </w:tc>
      </w:tr>
      <w:tr w:rsidR="007A0FE6">
        <w:trPr>
          <w:trHeight w:val="686"/>
        </w:trPr>
        <w:tc>
          <w:tcPr>
            <w:tcW w:w="553" w:type="dxa"/>
            <w:tcBorders>
              <w:bottom w:val="single" w:sz="12" w:space="0" w:color="000000"/>
            </w:tcBorders>
          </w:tcPr>
          <w:p w:rsidR="007A0FE6" w:rsidRDefault="005C2DF8">
            <w:pPr>
              <w:pStyle w:val="TableParagraph"/>
              <w:spacing w:line="226" w:lineRule="exact"/>
              <w:ind w:left="17"/>
              <w:jc w:val="center"/>
              <w:rPr>
                <w:sz w:val="20"/>
              </w:rPr>
            </w:pPr>
            <w:r>
              <w:rPr>
                <w:w w:val="99"/>
                <w:sz w:val="20"/>
              </w:rPr>
              <w:t>6</w:t>
            </w:r>
          </w:p>
        </w:tc>
        <w:tc>
          <w:tcPr>
            <w:tcW w:w="1589" w:type="dxa"/>
            <w:tcBorders>
              <w:bottom w:val="single" w:sz="12" w:space="0" w:color="000000"/>
            </w:tcBorders>
          </w:tcPr>
          <w:p w:rsidR="007A0FE6" w:rsidRDefault="005C2DF8">
            <w:pPr>
              <w:pStyle w:val="TableParagraph"/>
              <w:spacing w:line="226" w:lineRule="exact"/>
              <w:ind w:left="118"/>
              <w:rPr>
                <w:sz w:val="20"/>
              </w:rPr>
            </w:pPr>
            <w:r>
              <w:rPr>
                <w:sz w:val="20"/>
              </w:rPr>
              <w:t>The comeback</w:t>
            </w:r>
          </w:p>
        </w:tc>
        <w:tc>
          <w:tcPr>
            <w:tcW w:w="3367" w:type="dxa"/>
            <w:tcBorders>
              <w:bottom w:val="single" w:sz="12" w:space="0" w:color="000000"/>
            </w:tcBorders>
          </w:tcPr>
          <w:p w:rsidR="007A0FE6" w:rsidRDefault="00D955F1">
            <w:pPr>
              <w:pStyle w:val="TableParagraph"/>
              <w:spacing w:line="237" w:lineRule="auto"/>
              <w:ind w:left="149" w:right="115"/>
              <w:rPr>
                <w:sz w:val="20"/>
              </w:rPr>
            </w:pPr>
            <w:hyperlink r:id="rId37">
              <w:r w:rsidR="005C2DF8">
                <w:rPr>
                  <w:w w:val="95"/>
                  <w:sz w:val="20"/>
                </w:rPr>
                <w:t>http://c0953132.cdn.cloudfiles.rackspa</w:t>
              </w:r>
            </w:hyperlink>
            <w:r w:rsidR="005C2DF8">
              <w:rPr>
                <w:w w:val="95"/>
                <w:sz w:val="20"/>
              </w:rPr>
              <w:t xml:space="preserve"> </w:t>
            </w:r>
            <w:hyperlink r:id="rId38">
              <w:r w:rsidR="005C2DF8">
                <w:rPr>
                  <w:sz w:val="20"/>
                </w:rPr>
                <w:t>cecloud.com/stories-the-</w:t>
              </w:r>
            </w:hyperlink>
          </w:p>
          <w:p w:rsidR="007A0FE6" w:rsidRDefault="00D955F1">
            <w:pPr>
              <w:pStyle w:val="TableParagraph"/>
              <w:spacing w:line="212" w:lineRule="exact"/>
              <w:ind w:left="149"/>
              <w:rPr>
                <w:sz w:val="20"/>
              </w:rPr>
            </w:pPr>
            <w:hyperlink r:id="rId39">
              <w:r w:rsidR="005C2DF8">
                <w:rPr>
                  <w:sz w:val="20"/>
                </w:rPr>
                <w:t>comeback.mp3</w:t>
              </w:r>
            </w:hyperlink>
          </w:p>
        </w:tc>
        <w:tc>
          <w:tcPr>
            <w:tcW w:w="3355" w:type="dxa"/>
            <w:tcBorders>
              <w:bottom w:val="single" w:sz="12" w:space="0" w:color="000000"/>
            </w:tcBorders>
          </w:tcPr>
          <w:p w:rsidR="007A0FE6" w:rsidRDefault="00D955F1">
            <w:pPr>
              <w:pStyle w:val="TableParagraph"/>
              <w:spacing w:line="237" w:lineRule="auto"/>
              <w:ind w:left="115" w:right="120"/>
              <w:rPr>
                <w:sz w:val="20"/>
              </w:rPr>
            </w:pPr>
            <w:hyperlink r:id="rId40">
              <w:r w:rsidR="005C2DF8">
                <w:rPr>
                  <w:w w:val="95"/>
                  <w:sz w:val="20"/>
                </w:rPr>
                <w:t>http://learnenglish.britishcouncil.org/si</w:t>
              </w:r>
            </w:hyperlink>
            <w:r w:rsidR="005C2DF8">
              <w:rPr>
                <w:w w:val="95"/>
                <w:sz w:val="20"/>
              </w:rPr>
              <w:t xml:space="preserve"> </w:t>
            </w:r>
            <w:hyperlink r:id="rId41">
              <w:proofErr w:type="spellStart"/>
              <w:r w:rsidR="005C2DF8">
                <w:rPr>
                  <w:sz w:val="20"/>
                </w:rPr>
                <w:t>tes</w:t>
              </w:r>
              <w:proofErr w:type="spellEnd"/>
              <w:r w:rsidR="005C2DF8">
                <w:rPr>
                  <w:sz w:val="20"/>
                </w:rPr>
                <w:t>/podcasts/files/</w:t>
              </w:r>
              <w:proofErr w:type="spellStart"/>
              <w:r w:rsidR="005C2DF8">
                <w:rPr>
                  <w:sz w:val="20"/>
                </w:rPr>
                <w:t>LearnEnglish_story</w:t>
              </w:r>
              <w:proofErr w:type="spellEnd"/>
              <w:r w:rsidR="005C2DF8">
                <w:rPr>
                  <w:sz w:val="20"/>
                </w:rPr>
                <w:t>_</w:t>
              </w:r>
            </w:hyperlink>
          </w:p>
          <w:p w:rsidR="007A0FE6" w:rsidRDefault="00D955F1">
            <w:pPr>
              <w:pStyle w:val="TableParagraph"/>
              <w:spacing w:line="212" w:lineRule="exact"/>
              <w:ind w:left="115"/>
              <w:rPr>
                <w:sz w:val="20"/>
              </w:rPr>
            </w:pPr>
            <w:hyperlink r:id="rId42">
              <w:r w:rsidR="005C2DF8">
                <w:rPr>
                  <w:sz w:val="20"/>
                </w:rPr>
                <w:t>TheComeback.pdf</w:t>
              </w:r>
            </w:hyperlink>
          </w:p>
        </w:tc>
      </w:tr>
    </w:tbl>
    <w:p w:rsidR="007A0FE6" w:rsidRDefault="007A0FE6">
      <w:pPr>
        <w:pStyle w:val="BodyText"/>
        <w:spacing w:before="10"/>
        <w:rPr>
          <w:sz w:val="23"/>
        </w:rPr>
      </w:pPr>
    </w:p>
    <w:p w:rsidR="007A0FE6" w:rsidRDefault="005C2DF8">
      <w:pPr>
        <w:pStyle w:val="BodyText"/>
        <w:ind w:left="220" w:right="215"/>
        <w:jc w:val="both"/>
      </w:pPr>
      <w:r>
        <w:t>The ESL listening materials utilized in this study are suitable for pre-intermediate, and intermediate English language proficiency levels learners. The intervention period took four weeks. The duration of the listening passages ranged from 5.30 to 13.35 minutes. Each listening lesson started with the pre-listening activity. The listening passage was played four times, followed by the post-listening activities that accompanied the ESL listening materials (Table 1.). Although the listening materials are not authentic materials, they resembled authentic materials in terms of the native speaker’s presentation, and accents, such as pauses, hesitations, stresses, and redundancies. The listening passages included various sentence structures, dialogues, monologues, internal monologues, and narration to sustain learners’ interests, and encourage effective listening.</w:t>
      </w:r>
    </w:p>
    <w:p w:rsidR="007A0FE6" w:rsidRDefault="007A0FE6">
      <w:pPr>
        <w:pStyle w:val="BodyText"/>
        <w:spacing w:before="1"/>
      </w:pPr>
    </w:p>
    <w:p w:rsidR="007A0FE6" w:rsidRDefault="005C2DF8">
      <w:pPr>
        <w:pStyle w:val="Heading2"/>
        <w:jc w:val="left"/>
      </w:pPr>
      <w:r>
        <w:t>Instruments</w:t>
      </w:r>
    </w:p>
    <w:p w:rsidR="007A0FE6" w:rsidRDefault="007A0FE6">
      <w:pPr>
        <w:pStyle w:val="BodyText"/>
        <w:rPr>
          <w:b/>
          <w:i/>
        </w:rPr>
      </w:pPr>
    </w:p>
    <w:p w:rsidR="007A0FE6" w:rsidRDefault="005C2DF8">
      <w:pPr>
        <w:pStyle w:val="BodyText"/>
        <w:ind w:left="220" w:right="214"/>
        <w:jc w:val="both"/>
      </w:pPr>
      <w:r>
        <w:t xml:space="preserve">A quantitative instrument and two qualitative research techniques were </w:t>
      </w:r>
      <w:proofErr w:type="spellStart"/>
      <w:r>
        <w:t>utilised</w:t>
      </w:r>
      <w:proofErr w:type="spellEnd"/>
      <w:r>
        <w:t xml:space="preserve"> in this study. The quantitative instrument was two sets of sample IELTS language proficiency tests, the sample tests taken from IELTS website. Those two sets of sample IELTS language proficiency tests were first tested for parallel forms reliability. Parallel forms reliability test measures consistency between two sets of similar instruments. As shown</w:t>
      </w:r>
    </w:p>
    <w:p w:rsidR="007A0FE6" w:rsidRDefault="007A0FE6">
      <w:pPr>
        <w:jc w:val="both"/>
        <w:sectPr w:rsidR="007A0FE6">
          <w:pgSz w:w="12240" w:h="15840"/>
          <w:pgMar w:top="1360" w:right="1580" w:bottom="1260" w:left="1580" w:header="0" w:footer="1061" w:gutter="0"/>
          <w:cols w:space="720"/>
        </w:sectPr>
      </w:pPr>
    </w:p>
    <w:p w:rsidR="007A0FE6" w:rsidRDefault="005C2DF8">
      <w:pPr>
        <w:pStyle w:val="BodyText"/>
        <w:spacing w:before="79"/>
        <w:ind w:left="220" w:right="217"/>
        <w:jc w:val="both"/>
      </w:pPr>
      <w:proofErr w:type="gramStart"/>
      <w:r>
        <w:t>in</w:t>
      </w:r>
      <w:proofErr w:type="gramEnd"/>
      <w:r>
        <w:t xml:space="preserve"> Table 2., two sets of sample IELTS language proficiency tests gave almost the same means (2.7167 and 2.7333), and variances (0.719 and 0.737) when administered to the same group of participants within a short interval of time (</w:t>
      </w:r>
      <w:proofErr w:type="spellStart"/>
      <w:r>
        <w:t>Davier</w:t>
      </w:r>
      <w:proofErr w:type="spellEnd"/>
      <w:r>
        <w:t>, 2006).</w:t>
      </w:r>
    </w:p>
    <w:p w:rsidR="007A0FE6" w:rsidRDefault="007A0FE6">
      <w:pPr>
        <w:pStyle w:val="BodyText"/>
        <w:spacing w:before="1"/>
      </w:pPr>
    </w:p>
    <w:p w:rsidR="007A0FE6" w:rsidRDefault="005C2DF8">
      <w:pPr>
        <w:tabs>
          <w:tab w:val="left" w:pos="8890"/>
        </w:tabs>
        <w:spacing w:before="1"/>
        <w:ind w:left="191"/>
        <w:jc w:val="both"/>
        <w:rPr>
          <w:sz w:val="20"/>
        </w:rPr>
      </w:pPr>
      <w:r>
        <w:rPr>
          <w:spacing w:val="-21"/>
          <w:w w:val="99"/>
          <w:sz w:val="20"/>
          <w:u w:val="thick"/>
        </w:rPr>
        <w:t xml:space="preserve"> </w:t>
      </w:r>
      <w:proofErr w:type="gramStart"/>
      <w:r>
        <w:rPr>
          <w:sz w:val="20"/>
          <w:u w:val="thick"/>
        </w:rPr>
        <w:t>Table 2.</w:t>
      </w:r>
      <w:proofErr w:type="gramEnd"/>
      <w:r>
        <w:rPr>
          <w:sz w:val="20"/>
          <w:u w:val="thick"/>
        </w:rPr>
        <w:t xml:space="preserve"> Descriptive statistics related to the administration of two IELTS tests to the same</w:t>
      </w:r>
      <w:r>
        <w:rPr>
          <w:spacing w:val="-24"/>
          <w:sz w:val="20"/>
          <w:u w:val="thick"/>
        </w:rPr>
        <w:t xml:space="preserve"> </w:t>
      </w:r>
      <w:r>
        <w:rPr>
          <w:sz w:val="20"/>
          <w:u w:val="thick"/>
        </w:rPr>
        <w:t>group</w:t>
      </w:r>
      <w:r>
        <w:rPr>
          <w:sz w:val="20"/>
          <w:u w:val="thick"/>
        </w:rPr>
        <w:tab/>
      </w:r>
    </w:p>
    <w:p w:rsidR="007A0FE6" w:rsidRDefault="007A0FE6">
      <w:pPr>
        <w:pStyle w:val="BodyText"/>
        <w:spacing w:before="2"/>
        <w:rPr>
          <w:sz w:val="5"/>
        </w:rPr>
      </w:pPr>
    </w:p>
    <w:tbl>
      <w:tblPr>
        <w:tblW w:w="0" w:type="auto"/>
        <w:tblInd w:w="199" w:type="dxa"/>
        <w:tblLayout w:type="fixed"/>
        <w:tblCellMar>
          <w:left w:w="0" w:type="dxa"/>
          <w:right w:w="0" w:type="dxa"/>
        </w:tblCellMar>
        <w:tblLook w:val="01E0"/>
      </w:tblPr>
      <w:tblGrid>
        <w:gridCol w:w="1557"/>
        <w:gridCol w:w="1134"/>
        <w:gridCol w:w="1369"/>
        <w:gridCol w:w="1323"/>
        <w:gridCol w:w="1034"/>
        <w:gridCol w:w="1112"/>
        <w:gridCol w:w="1174"/>
      </w:tblGrid>
      <w:tr w:rsidR="007A0FE6">
        <w:trPr>
          <w:trHeight w:val="239"/>
        </w:trPr>
        <w:tc>
          <w:tcPr>
            <w:tcW w:w="1557" w:type="dxa"/>
            <w:tcBorders>
              <w:bottom w:val="single" w:sz="12" w:space="0" w:color="000000"/>
            </w:tcBorders>
          </w:tcPr>
          <w:p w:rsidR="007A0FE6" w:rsidRDefault="007A0FE6">
            <w:pPr>
              <w:pStyle w:val="TableParagraph"/>
              <w:rPr>
                <w:sz w:val="16"/>
              </w:rPr>
            </w:pPr>
          </w:p>
        </w:tc>
        <w:tc>
          <w:tcPr>
            <w:tcW w:w="1134" w:type="dxa"/>
            <w:tcBorders>
              <w:bottom w:val="single" w:sz="12" w:space="0" w:color="000000"/>
            </w:tcBorders>
          </w:tcPr>
          <w:p w:rsidR="007A0FE6" w:rsidRDefault="005C2DF8">
            <w:pPr>
              <w:pStyle w:val="TableParagraph"/>
              <w:spacing w:line="219" w:lineRule="exact"/>
              <w:ind w:right="356"/>
              <w:jc w:val="right"/>
              <w:rPr>
                <w:sz w:val="20"/>
              </w:rPr>
            </w:pPr>
            <w:r>
              <w:rPr>
                <w:w w:val="99"/>
                <w:sz w:val="20"/>
              </w:rPr>
              <w:t>N</w:t>
            </w:r>
          </w:p>
        </w:tc>
        <w:tc>
          <w:tcPr>
            <w:tcW w:w="1369" w:type="dxa"/>
            <w:tcBorders>
              <w:bottom w:val="single" w:sz="12" w:space="0" w:color="000000"/>
            </w:tcBorders>
          </w:tcPr>
          <w:p w:rsidR="007A0FE6" w:rsidRDefault="005C2DF8">
            <w:pPr>
              <w:pStyle w:val="TableParagraph"/>
              <w:spacing w:line="219" w:lineRule="exact"/>
              <w:ind w:left="297" w:right="231"/>
              <w:jc w:val="center"/>
              <w:rPr>
                <w:sz w:val="20"/>
              </w:rPr>
            </w:pPr>
            <w:r>
              <w:rPr>
                <w:sz w:val="20"/>
              </w:rPr>
              <w:t>Minimum</w:t>
            </w:r>
          </w:p>
        </w:tc>
        <w:tc>
          <w:tcPr>
            <w:tcW w:w="1323" w:type="dxa"/>
            <w:tcBorders>
              <w:bottom w:val="single" w:sz="12" w:space="0" w:color="000000"/>
            </w:tcBorders>
          </w:tcPr>
          <w:p w:rsidR="007A0FE6" w:rsidRDefault="005C2DF8">
            <w:pPr>
              <w:pStyle w:val="TableParagraph"/>
              <w:spacing w:line="219" w:lineRule="exact"/>
              <w:ind w:left="250"/>
              <w:rPr>
                <w:sz w:val="20"/>
              </w:rPr>
            </w:pPr>
            <w:r>
              <w:rPr>
                <w:sz w:val="20"/>
              </w:rPr>
              <w:t>Maximum</w:t>
            </w:r>
          </w:p>
        </w:tc>
        <w:tc>
          <w:tcPr>
            <w:tcW w:w="1034" w:type="dxa"/>
            <w:tcBorders>
              <w:bottom w:val="single" w:sz="12" w:space="0" w:color="000000"/>
            </w:tcBorders>
          </w:tcPr>
          <w:p w:rsidR="007A0FE6" w:rsidRDefault="005C2DF8">
            <w:pPr>
              <w:pStyle w:val="TableParagraph"/>
              <w:spacing w:line="219" w:lineRule="exact"/>
              <w:ind w:right="41"/>
              <w:jc w:val="center"/>
              <w:rPr>
                <w:sz w:val="20"/>
              </w:rPr>
            </w:pPr>
            <w:r>
              <w:rPr>
                <w:w w:val="99"/>
                <w:sz w:val="20"/>
              </w:rPr>
              <w:t>M</w:t>
            </w:r>
          </w:p>
        </w:tc>
        <w:tc>
          <w:tcPr>
            <w:tcW w:w="1112" w:type="dxa"/>
            <w:tcBorders>
              <w:bottom w:val="single" w:sz="12" w:space="0" w:color="000000"/>
            </w:tcBorders>
          </w:tcPr>
          <w:p w:rsidR="007A0FE6" w:rsidRDefault="005C2DF8">
            <w:pPr>
              <w:pStyle w:val="TableParagraph"/>
              <w:spacing w:line="219" w:lineRule="exact"/>
              <w:ind w:left="220" w:right="188"/>
              <w:jc w:val="center"/>
              <w:rPr>
                <w:sz w:val="20"/>
              </w:rPr>
            </w:pPr>
            <w:r>
              <w:rPr>
                <w:sz w:val="20"/>
              </w:rPr>
              <w:t>SD</w:t>
            </w:r>
          </w:p>
        </w:tc>
        <w:tc>
          <w:tcPr>
            <w:tcW w:w="1174" w:type="dxa"/>
            <w:tcBorders>
              <w:bottom w:val="single" w:sz="12" w:space="0" w:color="000000"/>
            </w:tcBorders>
          </w:tcPr>
          <w:p w:rsidR="007A0FE6" w:rsidRDefault="005C2DF8">
            <w:pPr>
              <w:pStyle w:val="TableParagraph"/>
              <w:spacing w:line="219" w:lineRule="exact"/>
              <w:ind w:right="250"/>
              <w:jc w:val="right"/>
              <w:rPr>
                <w:sz w:val="20"/>
              </w:rPr>
            </w:pPr>
            <w:r>
              <w:rPr>
                <w:w w:val="95"/>
                <w:sz w:val="20"/>
              </w:rPr>
              <w:t>Variance</w:t>
            </w:r>
          </w:p>
        </w:tc>
      </w:tr>
      <w:tr w:rsidR="007A0FE6">
        <w:trPr>
          <w:trHeight w:val="234"/>
        </w:trPr>
        <w:tc>
          <w:tcPr>
            <w:tcW w:w="1557" w:type="dxa"/>
            <w:tcBorders>
              <w:top w:val="single" w:sz="12" w:space="0" w:color="000000"/>
            </w:tcBorders>
          </w:tcPr>
          <w:p w:rsidR="007A0FE6" w:rsidRDefault="005C2DF8">
            <w:pPr>
              <w:pStyle w:val="TableParagraph"/>
              <w:spacing w:line="215" w:lineRule="exact"/>
              <w:ind w:left="28"/>
              <w:rPr>
                <w:sz w:val="20"/>
              </w:rPr>
            </w:pPr>
            <w:r>
              <w:rPr>
                <w:sz w:val="20"/>
              </w:rPr>
              <w:t>First test</w:t>
            </w:r>
          </w:p>
        </w:tc>
        <w:tc>
          <w:tcPr>
            <w:tcW w:w="1134" w:type="dxa"/>
            <w:tcBorders>
              <w:top w:val="single" w:sz="12" w:space="0" w:color="000000"/>
            </w:tcBorders>
          </w:tcPr>
          <w:p w:rsidR="007A0FE6" w:rsidRDefault="005C2DF8">
            <w:pPr>
              <w:pStyle w:val="TableParagraph"/>
              <w:spacing w:line="215" w:lineRule="exact"/>
              <w:ind w:right="317"/>
              <w:jc w:val="right"/>
              <w:rPr>
                <w:sz w:val="20"/>
              </w:rPr>
            </w:pPr>
            <w:r>
              <w:rPr>
                <w:sz w:val="20"/>
              </w:rPr>
              <w:t>26</w:t>
            </w:r>
          </w:p>
        </w:tc>
        <w:tc>
          <w:tcPr>
            <w:tcW w:w="1369" w:type="dxa"/>
            <w:tcBorders>
              <w:top w:val="single" w:sz="12" w:space="0" w:color="000000"/>
            </w:tcBorders>
          </w:tcPr>
          <w:p w:rsidR="007A0FE6" w:rsidRDefault="005C2DF8">
            <w:pPr>
              <w:pStyle w:val="TableParagraph"/>
              <w:spacing w:line="215" w:lineRule="exact"/>
              <w:ind w:left="297" w:right="178"/>
              <w:jc w:val="center"/>
              <w:rPr>
                <w:sz w:val="20"/>
              </w:rPr>
            </w:pPr>
            <w:r>
              <w:rPr>
                <w:sz w:val="20"/>
              </w:rPr>
              <w:t>1.0</w:t>
            </w:r>
          </w:p>
        </w:tc>
        <w:tc>
          <w:tcPr>
            <w:tcW w:w="1323" w:type="dxa"/>
            <w:tcBorders>
              <w:top w:val="single" w:sz="12" w:space="0" w:color="000000"/>
            </w:tcBorders>
          </w:tcPr>
          <w:p w:rsidR="007A0FE6" w:rsidRDefault="005C2DF8">
            <w:pPr>
              <w:pStyle w:val="TableParagraph"/>
              <w:spacing w:line="215" w:lineRule="exact"/>
              <w:ind w:left="600" w:right="432"/>
              <w:jc w:val="center"/>
              <w:rPr>
                <w:sz w:val="20"/>
              </w:rPr>
            </w:pPr>
            <w:r>
              <w:rPr>
                <w:sz w:val="20"/>
              </w:rPr>
              <w:t>4.5</w:t>
            </w:r>
          </w:p>
        </w:tc>
        <w:tc>
          <w:tcPr>
            <w:tcW w:w="1034" w:type="dxa"/>
            <w:tcBorders>
              <w:top w:val="single" w:sz="12" w:space="0" w:color="000000"/>
            </w:tcBorders>
          </w:tcPr>
          <w:p w:rsidR="007A0FE6" w:rsidRDefault="005C2DF8">
            <w:pPr>
              <w:pStyle w:val="TableParagraph"/>
              <w:spacing w:line="215" w:lineRule="exact"/>
              <w:ind w:left="219" w:right="225"/>
              <w:jc w:val="center"/>
              <w:rPr>
                <w:sz w:val="20"/>
              </w:rPr>
            </w:pPr>
            <w:r>
              <w:rPr>
                <w:sz w:val="20"/>
              </w:rPr>
              <w:t>2.7167</w:t>
            </w:r>
          </w:p>
        </w:tc>
        <w:tc>
          <w:tcPr>
            <w:tcW w:w="1112" w:type="dxa"/>
            <w:tcBorders>
              <w:top w:val="single" w:sz="12" w:space="0" w:color="000000"/>
            </w:tcBorders>
          </w:tcPr>
          <w:p w:rsidR="007A0FE6" w:rsidRDefault="005C2DF8">
            <w:pPr>
              <w:pStyle w:val="TableParagraph"/>
              <w:spacing w:line="215" w:lineRule="exact"/>
              <w:ind w:left="212" w:right="188"/>
              <w:jc w:val="center"/>
              <w:rPr>
                <w:sz w:val="20"/>
              </w:rPr>
            </w:pPr>
            <w:r>
              <w:rPr>
                <w:sz w:val="20"/>
              </w:rPr>
              <w:t>0.84775</w:t>
            </w:r>
          </w:p>
        </w:tc>
        <w:tc>
          <w:tcPr>
            <w:tcW w:w="1174" w:type="dxa"/>
            <w:tcBorders>
              <w:top w:val="single" w:sz="12" w:space="0" w:color="000000"/>
            </w:tcBorders>
          </w:tcPr>
          <w:p w:rsidR="007A0FE6" w:rsidRDefault="005C2DF8">
            <w:pPr>
              <w:pStyle w:val="TableParagraph"/>
              <w:spacing w:line="215" w:lineRule="exact"/>
              <w:ind w:right="289"/>
              <w:jc w:val="right"/>
              <w:rPr>
                <w:sz w:val="20"/>
              </w:rPr>
            </w:pPr>
            <w:r>
              <w:rPr>
                <w:w w:val="95"/>
                <w:sz w:val="20"/>
              </w:rPr>
              <w:t>0.719</w:t>
            </w:r>
          </w:p>
        </w:tc>
      </w:tr>
      <w:tr w:rsidR="007A0FE6">
        <w:trPr>
          <w:trHeight w:val="244"/>
        </w:trPr>
        <w:tc>
          <w:tcPr>
            <w:tcW w:w="1557" w:type="dxa"/>
            <w:tcBorders>
              <w:bottom w:val="single" w:sz="12" w:space="0" w:color="000000"/>
            </w:tcBorders>
          </w:tcPr>
          <w:p w:rsidR="007A0FE6" w:rsidRDefault="005C2DF8">
            <w:pPr>
              <w:pStyle w:val="TableParagraph"/>
              <w:spacing w:line="224" w:lineRule="exact"/>
              <w:ind w:left="28"/>
              <w:rPr>
                <w:sz w:val="20"/>
              </w:rPr>
            </w:pPr>
            <w:r>
              <w:rPr>
                <w:sz w:val="20"/>
              </w:rPr>
              <w:t>Second test</w:t>
            </w:r>
          </w:p>
        </w:tc>
        <w:tc>
          <w:tcPr>
            <w:tcW w:w="1134" w:type="dxa"/>
            <w:tcBorders>
              <w:bottom w:val="single" w:sz="12" w:space="0" w:color="000000"/>
            </w:tcBorders>
          </w:tcPr>
          <w:p w:rsidR="007A0FE6" w:rsidRDefault="005C2DF8">
            <w:pPr>
              <w:pStyle w:val="TableParagraph"/>
              <w:spacing w:line="224" w:lineRule="exact"/>
              <w:ind w:right="317"/>
              <w:jc w:val="right"/>
              <w:rPr>
                <w:sz w:val="20"/>
              </w:rPr>
            </w:pPr>
            <w:r>
              <w:rPr>
                <w:sz w:val="20"/>
              </w:rPr>
              <w:t>26</w:t>
            </w:r>
          </w:p>
        </w:tc>
        <w:tc>
          <w:tcPr>
            <w:tcW w:w="1369" w:type="dxa"/>
            <w:tcBorders>
              <w:bottom w:val="single" w:sz="12" w:space="0" w:color="000000"/>
            </w:tcBorders>
          </w:tcPr>
          <w:p w:rsidR="007A0FE6" w:rsidRDefault="005C2DF8">
            <w:pPr>
              <w:pStyle w:val="TableParagraph"/>
              <w:spacing w:line="224" w:lineRule="exact"/>
              <w:ind w:left="297" w:right="178"/>
              <w:jc w:val="center"/>
              <w:rPr>
                <w:sz w:val="20"/>
              </w:rPr>
            </w:pPr>
            <w:r>
              <w:rPr>
                <w:sz w:val="20"/>
              </w:rPr>
              <w:t>1.0</w:t>
            </w:r>
          </w:p>
        </w:tc>
        <w:tc>
          <w:tcPr>
            <w:tcW w:w="1323" w:type="dxa"/>
            <w:tcBorders>
              <w:bottom w:val="single" w:sz="12" w:space="0" w:color="000000"/>
            </w:tcBorders>
          </w:tcPr>
          <w:p w:rsidR="007A0FE6" w:rsidRDefault="005C2DF8">
            <w:pPr>
              <w:pStyle w:val="TableParagraph"/>
              <w:spacing w:line="224" w:lineRule="exact"/>
              <w:ind w:left="600" w:right="432"/>
              <w:jc w:val="center"/>
              <w:rPr>
                <w:sz w:val="20"/>
              </w:rPr>
            </w:pPr>
            <w:r>
              <w:rPr>
                <w:sz w:val="20"/>
              </w:rPr>
              <w:t>4.5</w:t>
            </w:r>
          </w:p>
        </w:tc>
        <w:tc>
          <w:tcPr>
            <w:tcW w:w="1034" w:type="dxa"/>
            <w:tcBorders>
              <w:bottom w:val="single" w:sz="12" w:space="0" w:color="000000"/>
            </w:tcBorders>
          </w:tcPr>
          <w:p w:rsidR="007A0FE6" w:rsidRDefault="005C2DF8">
            <w:pPr>
              <w:pStyle w:val="TableParagraph"/>
              <w:spacing w:line="224" w:lineRule="exact"/>
              <w:ind w:left="219" w:right="225"/>
              <w:jc w:val="center"/>
              <w:rPr>
                <w:sz w:val="20"/>
              </w:rPr>
            </w:pPr>
            <w:r>
              <w:rPr>
                <w:sz w:val="20"/>
              </w:rPr>
              <w:t>2.7333</w:t>
            </w:r>
          </w:p>
        </w:tc>
        <w:tc>
          <w:tcPr>
            <w:tcW w:w="1112" w:type="dxa"/>
            <w:tcBorders>
              <w:bottom w:val="single" w:sz="12" w:space="0" w:color="000000"/>
            </w:tcBorders>
          </w:tcPr>
          <w:p w:rsidR="007A0FE6" w:rsidRDefault="005C2DF8">
            <w:pPr>
              <w:pStyle w:val="TableParagraph"/>
              <w:spacing w:line="224" w:lineRule="exact"/>
              <w:ind w:left="223" w:right="178"/>
              <w:jc w:val="center"/>
              <w:rPr>
                <w:sz w:val="20"/>
              </w:rPr>
            </w:pPr>
            <w:r>
              <w:rPr>
                <w:sz w:val="20"/>
              </w:rPr>
              <w:t>0.85836</w:t>
            </w:r>
          </w:p>
        </w:tc>
        <w:tc>
          <w:tcPr>
            <w:tcW w:w="1174" w:type="dxa"/>
            <w:tcBorders>
              <w:bottom w:val="single" w:sz="12" w:space="0" w:color="000000"/>
            </w:tcBorders>
          </w:tcPr>
          <w:p w:rsidR="007A0FE6" w:rsidRDefault="005C2DF8">
            <w:pPr>
              <w:pStyle w:val="TableParagraph"/>
              <w:spacing w:line="224" w:lineRule="exact"/>
              <w:ind w:right="279"/>
              <w:jc w:val="right"/>
              <w:rPr>
                <w:sz w:val="20"/>
              </w:rPr>
            </w:pPr>
            <w:r>
              <w:rPr>
                <w:w w:val="95"/>
                <w:sz w:val="20"/>
              </w:rPr>
              <w:t>0.737</w:t>
            </w:r>
          </w:p>
        </w:tc>
      </w:tr>
    </w:tbl>
    <w:p w:rsidR="007A0FE6" w:rsidRDefault="007A0FE6">
      <w:pPr>
        <w:pStyle w:val="BodyText"/>
        <w:spacing w:before="10"/>
        <w:rPr>
          <w:sz w:val="22"/>
        </w:rPr>
      </w:pPr>
    </w:p>
    <w:p w:rsidR="007A0FE6" w:rsidRDefault="005C2DF8">
      <w:pPr>
        <w:pStyle w:val="BodyText"/>
        <w:ind w:left="220" w:right="217"/>
        <w:jc w:val="both"/>
      </w:pPr>
      <w:r>
        <w:t xml:space="preserve">The validity of the IELTS language proficiency test is determined by its high demand globally; and its high predictive validity on the test takers’ academic performances. A study that investigated the relationship between IELTS listening test scores, and the test takers’ academic performance found that there is a negligible correlation coefficient (r=0.063) between the overall IELTS band scores and the test takers’ semester weighted average points (Ingram, &amp; </w:t>
      </w:r>
      <w:proofErr w:type="spellStart"/>
      <w:r>
        <w:t>Bayliss</w:t>
      </w:r>
      <w:proofErr w:type="spellEnd"/>
      <w:r>
        <w:t>, 2007). Also, we can gauge Malaysian students’ English language proficiency to be on par with the standard of International English Language by using the IELTS language proficiency test.</w:t>
      </w:r>
    </w:p>
    <w:p w:rsidR="007A0FE6" w:rsidRDefault="007A0FE6">
      <w:pPr>
        <w:pStyle w:val="BodyText"/>
        <w:spacing w:before="1"/>
      </w:pPr>
    </w:p>
    <w:p w:rsidR="007A0FE6" w:rsidRDefault="005C2DF8">
      <w:pPr>
        <w:pStyle w:val="BodyText"/>
        <w:ind w:left="220" w:right="216"/>
        <w:jc w:val="both"/>
      </w:pPr>
      <w:r>
        <w:t>Although, validity and reliability are important issues in quantitative research; qualitative research tends to reject validity and reliability measurements accepted by quantitative research as too rigid (</w:t>
      </w:r>
      <w:proofErr w:type="spellStart"/>
      <w:r>
        <w:t>Trochim</w:t>
      </w:r>
      <w:proofErr w:type="spellEnd"/>
      <w:r>
        <w:t xml:space="preserve">, 2006). </w:t>
      </w:r>
      <w:proofErr w:type="spellStart"/>
      <w:r>
        <w:t>Stenbacka</w:t>
      </w:r>
      <w:proofErr w:type="spellEnd"/>
      <w:r>
        <w:t xml:space="preserve"> (2001) conceives that a valid qualitative research contains a through description of the research procedures. </w:t>
      </w:r>
      <w:proofErr w:type="spellStart"/>
      <w:r>
        <w:t>Golafshani</w:t>
      </w:r>
      <w:proofErr w:type="spellEnd"/>
      <w:r>
        <w:t xml:space="preserve"> (2003) posits that reliability in qualitative research is the trustworthiness, or the researcher’s ability, and effort to produce rich and robust data (Jones et al., 2006).</w:t>
      </w:r>
    </w:p>
    <w:p w:rsidR="007A0FE6" w:rsidRDefault="007A0FE6">
      <w:pPr>
        <w:pStyle w:val="BodyText"/>
      </w:pPr>
    </w:p>
    <w:p w:rsidR="007A0FE6" w:rsidRDefault="005C2DF8">
      <w:pPr>
        <w:pStyle w:val="BodyText"/>
        <w:ind w:left="220" w:right="215"/>
        <w:jc w:val="both"/>
      </w:pPr>
      <w:r>
        <w:t xml:space="preserve">Two qualitative research techniques </w:t>
      </w:r>
      <w:proofErr w:type="spellStart"/>
      <w:r>
        <w:t>utilised</w:t>
      </w:r>
      <w:proofErr w:type="spellEnd"/>
      <w:r>
        <w:t xml:space="preserve"> in this study were focus group questionnaires survey, and observation. The survey was conducted before the intervention. The questionnaire was a document containing open-ended questions designed to elicit in- depth background information and learning characteristics of the participants. In order to strengthen the quantitative findings, additional qualitative data about the participants’ learning process were obtained to provide a more credible, and accurate reflection of the participants’ performance by using observation technique.</w:t>
      </w:r>
    </w:p>
    <w:p w:rsidR="007A0FE6" w:rsidRDefault="007A0FE6">
      <w:pPr>
        <w:pStyle w:val="BodyText"/>
        <w:rPr>
          <w:sz w:val="26"/>
        </w:rPr>
      </w:pPr>
    </w:p>
    <w:p w:rsidR="007A0FE6" w:rsidRDefault="007A0FE6">
      <w:pPr>
        <w:pStyle w:val="BodyText"/>
        <w:rPr>
          <w:sz w:val="26"/>
        </w:rPr>
      </w:pPr>
    </w:p>
    <w:p w:rsidR="007A0FE6" w:rsidRDefault="005C2DF8">
      <w:pPr>
        <w:pStyle w:val="Heading2"/>
        <w:spacing w:before="229"/>
      </w:pPr>
      <w:r>
        <w:t>Data Collection Procedures</w:t>
      </w:r>
    </w:p>
    <w:p w:rsidR="007A0FE6" w:rsidRDefault="007A0FE6">
      <w:pPr>
        <w:pStyle w:val="BodyText"/>
        <w:spacing w:before="11"/>
        <w:rPr>
          <w:b/>
          <w:i/>
          <w:sz w:val="23"/>
        </w:rPr>
      </w:pPr>
    </w:p>
    <w:p w:rsidR="007A0FE6" w:rsidRDefault="005C2DF8">
      <w:pPr>
        <w:pStyle w:val="BodyText"/>
        <w:ind w:left="220" w:right="213"/>
        <w:jc w:val="both"/>
      </w:pPr>
      <w:r>
        <w:t xml:space="preserve">The data were collected in a few stages. Prior to the intervention, the researcher conducted a focus group questionnaires survey. Subsequently, the first set of sample IELTS language proficiency test was verified with the second set to ensure reliability of the instruments (Table 2.). Then, the first set of sample IELTS language proficiency test was used for the pre-test, and the second set for post-test. During the one-month intervention period, the researcher chronologically observed, and kept notes of the participants’ verbal, and physical responses during the listening exercises. </w:t>
      </w:r>
      <w:r>
        <w:rPr>
          <w:spacing w:val="-3"/>
        </w:rPr>
        <w:t xml:space="preserve">In </w:t>
      </w:r>
      <w:r>
        <w:t>this study, the qualitative data collection procedures before, and after the intervention period were meant to explain, and support the quantitative</w:t>
      </w:r>
      <w:r>
        <w:rPr>
          <w:spacing w:val="-3"/>
        </w:rPr>
        <w:t xml:space="preserve"> </w:t>
      </w:r>
      <w:r>
        <w:t>findings.</w:t>
      </w:r>
    </w:p>
    <w:p w:rsidR="007A0FE6" w:rsidRDefault="007A0FE6">
      <w:pPr>
        <w:jc w:val="both"/>
        <w:sectPr w:rsidR="007A0FE6">
          <w:pgSz w:w="12240" w:h="15840"/>
          <w:pgMar w:top="1360" w:right="1580" w:bottom="1260" w:left="1580" w:header="0" w:footer="1061" w:gutter="0"/>
          <w:cols w:space="720"/>
        </w:sectPr>
      </w:pPr>
    </w:p>
    <w:p w:rsidR="007A0FE6" w:rsidRDefault="005C2DF8">
      <w:pPr>
        <w:pStyle w:val="BodyText"/>
        <w:spacing w:before="79"/>
        <w:ind w:left="220" w:right="215"/>
        <w:jc w:val="both"/>
      </w:pPr>
      <w:r>
        <w:t>The quantitative data were collected using the sample IELTS language proficiency tests which consisted of four sections: listening, reading, writing, and speaking. For the listening, and reading sections, each correct answer would be awarded one mark. The writing and speaking sections would be scored using the band descriptors. There are band descriptors for “Writing Task 1,” “Writing Task 2,” and “Speaking.” The band performance descriptors described participants’ performance in four categories: task achievement, coherence and cohesion, lexical resource, and grammatical range, and accuracy (IELTS, 2015). Then, the raw scores from four sections would be converted to an overall band score using the band score calculator (IELTS, 2016).</w:t>
      </w:r>
    </w:p>
    <w:p w:rsidR="007A0FE6" w:rsidRDefault="007A0FE6">
      <w:pPr>
        <w:pStyle w:val="BodyText"/>
        <w:rPr>
          <w:sz w:val="26"/>
        </w:rPr>
      </w:pPr>
    </w:p>
    <w:p w:rsidR="007A0FE6" w:rsidRDefault="007A0FE6">
      <w:pPr>
        <w:pStyle w:val="BodyText"/>
        <w:rPr>
          <w:sz w:val="22"/>
        </w:rPr>
      </w:pPr>
    </w:p>
    <w:p w:rsidR="007A0FE6" w:rsidRDefault="005C2DF8">
      <w:pPr>
        <w:pStyle w:val="Heading1"/>
      </w:pPr>
      <w:r>
        <w:t>Results</w:t>
      </w:r>
    </w:p>
    <w:p w:rsidR="007A0FE6" w:rsidRDefault="007A0FE6">
      <w:pPr>
        <w:pStyle w:val="BodyText"/>
        <w:spacing w:before="1"/>
        <w:rPr>
          <w:b/>
        </w:rPr>
      </w:pPr>
    </w:p>
    <w:p w:rsidR="007A0FE6" w:rsidRDefault="005C2DF8">
      <w:pPr>
        <w:pStyle w:val="BodyText"/>
        <w:ind w:left="220" w:right="216"/>
        <w:jc w:val="both"/>
      </w:pPr>
      <w:r>
        <w:t xml:space="preserve">To answer research questions 1 and 2, the quantitative data obtained from the pre-tests and post-tests were </w:t>
      </w:r>
      <w:proofErr w:type="spellStart"/>
      <w:r>
        <w:t>analysed</w:t>
      </w:r>
      <w:proofErr w:type="spellEnd"/>
      <w:r>
        <w:t xml:space="preserve"> and tabulated using SPSS V.20; whereas to answer research question 3, the observation data were used to reveal salient features, and emerging themes. The results from the questionnaires were coded, and </w:t>
      </w:r>
      <w:proofErr w:type="spellStart"/>
      <w:r>
        <w:t>categorised</w:t>
      </w:r>
      <w:proofErr w:type="spellEnd"/>
      <w:r>
        <w:t xml:space="preserve"> to provide a description of the participants’ background. The observation field notes were used to draw assumptions, and conclusions of the listening</w:t>
      </w:r>
      <w:r>
        <w:rPr>
          <w:spacing w:val="-3"/>
        </w:rPr>
        <w:t xml:space="preserve"> </w:t>
      </w:r>
      <w:r>
        <w:t>process.</w:t>
      </w:r>
    </w:p>
    <w:p w:rsidR="007A0FE6" w:rsidRDefault="007A0FE6">
      <w:pPr>
        <w:pStyle w:val="BodyText"/>
      </w:pPr>
    </w:p>
    <w:p w:rsidR="007A0FE6" w:rsidRDefault="005C2DF8">
      <w:pPr>
        <w:pStyle w:val="Heading2"/>
        <w:jc w:val="left"/>
      </w:pPr>
      <w:r>
        <w:t>Research question 1</w:t>
      </w:r>
    </w:p>
    <w:p w:rsidR="007A0FE6" w:rsidRDefault="007A0FE6">
      <w:pPr>
        <w:pStyle w:val="BodyText"/>
        <w:rPr>
          <w:b/>
          <w:i/>
        </w:rPr>
      </w:pPr>
    </w:p>
    <w:p w:rsidR="007A0FE6" w:rsidRDefault="005C2DF8">
      <w:pPr>
        <w:pStyle w:val="BodyText"/>
        <w:ind w:left="220" w:right="214"/>
        <w:jc w:val="both"/>
      </w:pPr>
      <w:r>
        <w:t xml:space="preserve">In relation to the first research question, a paired-samples t-test indicated that there were significant differences between the pre-test (M=2.77, SD=0.91), and post-test (M=2.99, SD=1.61), </w:t>
      </w:r>
      <w:proofErr w:type="gramStart"/>
      <w:r>
        <w:t>t(</w:t>
      </w:r>
      <w:proofErr w:type="gramEnd"/>
      <w:r>
        <w:t>25)=-0.31, p=0.05. This result suggests that listening comprehension does have an effect on the participants’ overall language proficiency.</w:t>
      </w:r>
    </w:p>
    <w:p w:rsidR="007A0FE6" w:rsidRDefault="007A0FE6">
      <w:pPr>
        <w:pStyle w:val="BodyText"/>
        <w:spacing w:before="1"/>
      </w:pPr>
    </w:p>
    <w:p w:rsidR="007A0FE6" w:rsidRDefault="005C2DF8">
      <w:pPr>
        <w:pStyle w:val="BodyText"/>
        <w:ind w:left="220" w:right="215"/>
        <w:jc w:val="both"/>
      </w:pPr>
      <w:r>
        <w:t xml:space="preserve">A paired-samples t-test indicated that there were significant differences between the pre- test of listening (M=1.90, SD=0.88), and post-test of listening (M=2.19, SD=1.18), </w:t>
      </w:r>
      <w:proofErr w:type="gramStart"/>
      <w:r>
        <w:t>t(</w:t>
      </w:r>
      <w:proofErr w:type="gramEnd"/>
      <w:r>
        <w:t>25)=-3.11, p=0.005, p&lt;0.05. This result suggests that listening comprehension does have an effect on the participants’ listening</w:t>
      </w:r>
      <w:r>
        <w:rPr>
          <w:spacing w:val="-3"/>
        </w:rPr>
        <w:t xml:space="preserve"> </w:t>
      </w:r>
      <w:r>
        <w:t>proficiency.</w:t>
      </w:r>
    </w:p>
    <w:p w:rsidR="007A0FE6" w:rsidRDefault="007A0FE6">
      <w:pPr>
        <w:pStyle w:val="BodyText"/>
      </w:pPr>
    </w:p>
    <w:p w:rsidR="007A0FE6" w:rsidRDefault="005C2DF8">
      <w:pPr>
        <w:pStyle w:val="BodyText"/>
        <w:ind w:left="220" w:right="215"/>
        <w:jc w:val="both"/>
      </w:pPr>
      <w:r>
        <w:t xml:space="preserve">A paired-samples t-test indicated that there were significant differences between the pre- test of reading (M=3.62, SD=1.03), and post-test of reading (M=3.90, SD=1.36), </w:t>
      </w:r>
      <w:proofErr w:type="gramStart"/>
      <w:r>
        <w:t>t(</w:t>
      </w:r>
      <w:proofErr w:type="gramEnd"/>
      <w:r>
        <w:t>25)=- 3.11, p=0.005, p&lt;0.05. This result suggests that listening comprehension does have an effect on the participants’ reading</w:t>
      </w:r>
      <w:r>
        <w:rPr>
          <w:spacing w:val="-5"/>
        </w:rPr>
        <w:t xml:space="preserve"> </w:t>
      </w:r>
      <w:r>
        <w:t>proficiency.</w:t>
      </w:r>
    </w:p>
    <w:p w:rsidR="007A0FE6" w:rsidRDefault="007A0FE6">
      <w:pPr>
        <w:pStyle w:val="BodyText"/>
      </w:pPr>
    </w:p>
    <w:p w:rsidR="007A0FE6" w:rsidRDefault="005C2DF8">
      <w:pPr>
        <w:pStyle w:val="BodyText"/>
        <w:ind w:left="220" w:right="215"/>
        <w:jc w:val="both"/>
      </w:pPr>
      <w:r>
        <w:t xml:space="preserve">A paired-samples t-test indicated that there were significant differences between the pre- test of writing (M=3.10, SD=0.89), and post-test of writing (M=3.33, SD=1.21), </w:t>
      </w:r>
      <w:proofErr w:type="gramStart"/>
      <w:r>
        <w:t>t(</w:t>
      </w:r>
      <w:proofErr w:type="gramEnd"/>
      <w:r>
        <w:t>25)=- 2.60, p=0.015, p&lt;0.05. This result suggests that listening comprehension does have an effect on the participants’ writing</w:t>
      </w:r>
      <w:r>
        <w:rPr>
          <w:spacing w:val="-3"/>
        </w:rPr>
        <w:t xml:space="preserve"> </w:t>
      </w:r>
      <w:r>
        <w:t>proficiency.</w:t>
      </w:r>
    </w:p>
    <w:p w:rsidR="007A0FE6" w:rsidRDefault="007A0FE6">
      <w:pPr>
        <w:pStyle w:val="BodyText"/>
        <w:spacing w:before="1"/>
      </w:pPr>
    </w:p>
    <w:p w:rsidR="007A0FE6" w:rsidRDefault="005C2DF8">
      <w:pPr>
        <w:pStyle w:val="BodyText"/>
        <w:ind w:left="220" w:right="215"/>
        <w:jc w:val="both"/>
      </w:pPr>
      <w:r>
        <w:t xml:space="preserve">A paired-samples t-test indicated that there were significant differences between the pre- test of writing (M=2.46, SD=0.98), and post-test of writing (M=2.50, SD=1.12), </w:t>
      </w:r>
      <w:proofErr w:type="gramStart"/>
      <w:r>
        <w:t>t(</w:t>
      </w:r>
      <w:proofErr w:type="gramEnd"/>
      <w:r>
        <w:t xml:space="preserve">25)=- 0.81, p=0.425, p&gt;0.05. This result suggests that listening comprehension does not </w:t>
      </w:r>
      <w:proofErr w:type="gramStart"/>
      <w:r>
        <w:t>have  an</w:t>
      </w:r>
      <w:proofErr w:type="gramEnd"/>
      <w:r>
        <w:t xml:space="preserve"> effect on the participants’ speaking</w:t>
      </w:r>
      <w:r>
        <w:rPr>
          <w:spacing w:val="-5"/>
        </w:rPr>
        <w:t xml:space="preserve"> </w:t>
      </w:r>
      <w:r>
        <w:t>proficiency.</w:t>
      </w:r>
    </w:p>
    <w:p w:rsidR="007A0FE6" w:rsidRDefault="007A0FE6">
      <w:pPr>
        <w:jc w:val="both"/>
        <w:sectPr w:rsidR="007A0FE6">
          <w:pgSz w:w="12240" w:h="15840"/>
          <w:pgMar w:top="1360" w:right="1580" w:bottom="1260" w:left="1580" w:header="0" w:footer="1061" w:gutter="0"/>
          <w:cols w:space="720"/>
        </w:sectPr>
      </w:pPr>
    </w:p>
    <w:p w:rsidR="007A0FE6" w:rsidRDefault="007A0FE6">
      <w:pPr>
        <w:pStyle w:val="BodyText"/>
        <w:spacing w:before="11"/>
        <w:rPr>
          <w:sz w:val="10"/>
        </w:rPr>
      </w:pPr>
    </w:p>
    <w:p w:rsidR="007A0FE6" w:rsidRDefault="005C2DF8">
      <w:pPr>
        <w:spacing w:before="91" w:after="17"/>
        <w:ind w:left="220" w:right="219"/>
        <w:jc w:val="both"/>
        <w:rPr>
          <w:sz w:val="20"/>
        </w:rPr>
      </w:pPr>
      <w:proofErr w:type="gramStart"/>
      <w:r>
        <w:rPr>
          <w:sz w:val="20"/>
        </w:rPr>
        <w:t>Table 3.</w:t>
      </w:r>
      <w:proofErr w:type="gramEnd"/>
      <w:r>
        <w:rPr>
          <w:sz w:val="20"/>
        </w:rPr>
        <w:t xml:space="preserve"> Paired samples statistics of IELTS pre-tests and post-tests for listening, reading speaking and writing components</w:t>
      </w:r>
    </w:p>
    <w:tbl>
      <w:tblPr>
        <w:tblW w:w="0" w:type="auto"/>
        <w:tblInd w:w="199" w:type="dxa"/>
        <w:tblLayout w:type="fixed"/>
        <w:tblCellMar>
          <w:left w:w="0" w:type="dxa"/>
          <w:right w:w="0" w:type="dxa"/>
        </w:tblCellMar>
        <w:tblLook w:val="01E0"/>
      </w:tblPr>
      <w:tblGrid>
        <w:gridCol w:w="2156"/>
        <w:gridCol w:w="383"/>
        <w:gridCol w:w="800"/>
        <w:gridCol w:w="880"/>
        <w:gridCol w:w="1426"/>
        <w:gridCol w:w="765"/>
        <w:gridCol w:w="586"/>
        <w:gridCol w:w="1707"/>
      </w:tblGrid>
      <w:tr w:rsidR="007A0FE6">
        <w:trPr>
          <w:trHeight w:val="267"/>
        </w:trPr>
        <w:tc>
          <w:tcPr>
            <w:tcW w:w="2156" w:type="dxa"/>
            <w:tcBorders>
              <w:top w:val="single" w:sz="12" w:space="0" w:color="000000"/>
              <w:bottom w:val="single" w:sz="12" w:space="0" w:color="000000"/>
            </w:tcBorders>
          </w:tcPr>
          <w:p w:rsidR="007A0FE6" w:rsidRDefault="007A0FE6">
            <w:pPr>
              <w:pStyle w:val="TableParagraph"/>
              <w:rPr>
                <w:sz w:val="18"/>
              </w:rPr>
            </w:pPr>
          </w:p>
        </w:tc>
        <w:tc>
          <w:tcPr>
            <w:tcW w:w="383" w:type="dxa"/>
            <w:tcBorders>
              <w:top w:val="single" w:sz="12" w:space="0" w:color="000000"/>
              <w:bottom w:val="single" w:sz="12" w:space="0" w:color="000000"/>
            </w:tcBorders>
          </w:tcPr>
          <w:p w:rsidR="007A0FE6" w:rsidRDefault="005C2DF8">
            <w:pPr>
              <w:pStyle w:val="TableParagraph"/>
              <w:spacing w:before="19" w:line="229" w:lineRule="exact"/>
              <w:ind w:left="32"/>
              <w:rPr>
                <w:sz w:val="20"/>
              </w:rPr>
            </w:pPr>
            <w:r>
              <w:rPr>
                <w:w w:val="99"/>
                <w:sz w:val="20"/>
              </w:rPr>
              <w:t>N</w:t>
            </w:r>
          </w:p>
        </w:tc>
        <w:tc>
          <w:tcPr>
            <w:tcW w:w="800" w:type="dxa"/>
            <w:tcBorders>
              <w:top w:val="single" w:sz="12" w:space="0" w:color="000000"/>
              <w:bottom w:val="single" w:sz="12" w:space="0" w:color="000000"/>
            </w:tcBorders>
          </w:tcPr>
          <w:p w:rsidR="007A0FE6" w:rsidRDefault="005C2DF8">
            <w:pPr>
              <w:pStyle w:val="TableParagraph"/>
              <w:spacing w:before="19" w:line="229" w:lineRule="exact"/>
              <w:ind w:left="117"/>
              <w:jc w:val="center"/>
              <w:rPr>
                <w:sz w:val="20"/>
              </w:rPr>
            </w:pPr>
            <w:r>
              <w:rPr>
                <w:w w:val="99"/>
                <w:sz w:val="20"/>
              </w:rPr>
              <w:t>M</w:t>
            </w:r>
          </w:p>
        </w:tc>
        <w:tc>
          <w:tcPr>
            <w:tcW w:w="880" w:type="dxa"/>
            <w:tcBorders>
              <w:top w:val="single" w:sz="12" w:space="0" w:color="000000"/>
              <w:bottom w:val="single" w:sz="12" w:space="0" w:color="000000"/>
            </w:tcBorders>
          </w:tcPr>
          <w:p w:rsidR="007A0FE6" w:rsidRDefault="005C2DF8">
            <w:pPr>
              <w:pStyle w:val="TableParagraph"/>
              <w:spacing w:before="19" w:line="229" w:lineRule="exact"/>
              <w:ind w:left="67" w:right="110"/>
              <w:jc w:val="center"/>
              <w:rPr>
                <w:sz w:val="20"/>
              </w:rPr>
            </w:pPr>
            <w:r>
              <w:rPr>
                <w:sz w:val="20"/>
              </w:rPr>
              <w:t>SD</w:t>
            </w:r>
          </w:p>
        </w:tc>
        <w:tc>
          <w:tcPr>
            <w:tcW w:w="1426" w:type="dxa"/>
            <w:tcBorders>
              <w:top w:val="single" w:sz="12" w:space="0" w:color="000000"/>
              <w:bottom w:val="single" w:sz="12" w:space="0" w:color="000000"/>
            </w:tcBorders>
          </w:tcPr>
          <w:p w:rsidR="007A0FE6" w:rsidRDefault="005C2DF8">
            <w:pPr>
              <w:pStyle w:val="TableParagraph"/>
              <w:spacing w:before="19" w:line="229" w:lineRule="exact"/>
              <w:ind w:left="109" w:right="31"/>
              <w:jc w:val="center"/>
              <w:rPr>
                <w:sz w:val="20"/>
              </w:rPr>
            </w:pPr>
            <w:r>
              <w:rPr>
                <w:sz w:val="20"/>
              </w:rPr>
              <w:t>Std Error Mean</w:t>
            </w:r>
          </w:p>
        </w:tc>
        <w:tc>
          <w:tcPr>
            <w:tcW w:w="765" w:type="dxa"/>
            <w:tcBorders>
              <w:top w:val="single" w:sz="12" w:space="0" w:color="000000"/>
              <w:bottom w:val="single" w:sz="12" w:space="0" w:color="000000"/>
            </w:tcBorders>
          </w:tcPr>
          <w:p w:rsidR="007A0FE6" w:rsidRDefault="005C2DF8">
            <w:pPr>
              <w:pStyle w:val="TableParagraph"/>
              <w:spacing w:before="19" w:line="229" w:lineRule="exact"/>
              <w:ind w:right="15"/>
              <w:jc w:val="center"/>
              <w:rPr>
                <w:sz w:val="20"/>
              </w:rPr>
            </w:pPr>
            <w:r>
              <w:rPr>
                <w:w w:val="99"/>
                <w:sz w:val="20"/>
              </w:rPr>
              <w:t>t</w:t>
            </w:r>
          </w:p>
        </w:tc>
        <w:tc>
          <w:tcPr>
            <w:tcW w:w="586" w:type="dxa"/>
            <w:tcBorders>
              <w:top w:val="single" w:sz="12" w:space="0" w:color="000000"/>
              <w:bottom w:val="single" w:sz="12" w:space="0" w:color="000000"/>
            </w:tcBorders>
          </w:tcPr>
          <w:p w:rsidR="007A0FE6" w:rsidRDefault="005C2DF8">
            <w:pPr>
              <w:pStyle w:val="TableParagraph"/>
              <w:spacing w:before="19" w:line="229" w:lineRule="exact"/>
              <w:ind w:left="99"/>
              <w:rPr>
                <w:sz w:val="20"/>
              </w:rPr>
            </w:pPr>
            <w:proofErr w:type="spellStart"/>
            <w:r>
              <w:rPr>
                <w:sz w:val="20"/>
              </w:rPr>
              <w:t>df</w:t>
            </w:r>
            <w:proofErr w:type="spellEnd"/>
          </w:p>
        </w:tc>
        <w:tc>
          <w:tcPr>
            <w:tcW w:w="1707" w:type="dxa"/>
            <w:tcBorders>
              <w:top w:val="single" w:sz="12" w:space="0" w:color="000000"/>
              <w:bottom w:val="single" w:sz="12" w:space="0" w:color="000000"/>
            </w:tcBorders>
          </w:tcPr>
          <w:p w:rsidR="007A0FE6" w:rsidRDefault="005C2DF8">
            <w:pPr>
              <w:pStyle w:val="TableParagraph"/>
              <w:spacing w:before="19" w:line="229" w:lineRule="exact"/>
              <w:ind w:left="233"/>
              <w:rPr>
                <w:sz w:val="20"/>
              </w:rPr>
            </w:pPr>
            <w:r>
              <w:rPr>
                <w:sz w:val="20"/>
              </w:rPr>
              <w:t>Sig (2-tailed)</w:t>
            </w:r>
          </w:p>
        </w:tc>
      </w:tr>
      <w:tr w:rsidR="007A0FE6">
        <w:trPr>
          <w:trHeight w:val="234"/>
        </w:trPr>
        <w:tc>
          <w:tcPr>
            <w:tcW w:w="2156" w:type="dxa"/>
            <w:tcBorders>
              <w:top w:val="single" w:sz="12" w:space="0" w:color="000000"/>
            </w:tcBorders>
          </w:tcPr>
          <w:p w:rsidR="007A0FE6" w:rsidRDefault="005C2DF8">
            <w:pPr>
              <w:pStyle w:val="TableParagraph"/>
              <w:spacing w:line="215" w:lineRule="exact"/>
              <w:ind w:left="28"/>
              <w:rPr>
                <w:b/>
                <w:sz w:val="20"/>
              </w:rPr>
            </w:pPr>
            <w:r>
              <w:rPr>
                <w:b/>
                <w:sz w:val="20"/>
              </w:rPr>
              <w:t>Overall Performance</w:t>
            </w:r>
          </w:p>
        </w:tc>
        <w:tc>
          <w:tcPr>
            <w:tcW w:w="383" w:type="dxa"/>
            <w:tcBorders>
              <w:top w:val="single" w:sz="12" w:space="0" w:color="000000"/>
            </w:tcBorders>
          </w:tcPr>
          <w:p w:rsidR="007A0FE6" w:rsidRDefault="007A0FE6">
            <w:pPr>
              <w:pStyle w:val="TableParagraph"/>
              <w:rPr>
                <w:sz w:val="16"/>
              </w:rPr>
            </w:pPr>
          </w:p>
        </w:tc>
        <w:tc>
          <w:tcPr>
            <w:tcW w:w="800" w:type="dxa"/>
            <w:tcBorders>
              <w:top w:val="single" w:sz="12" w:space="0" w:color="000000"/>
            </w:tcBorders>
          </w:tcPr>
          <w:p w:rsidR="007A0FE6" w:rsidRDefault="007A0FE6">
            <w:pPr>
              <w:pStyle w:val="TableParagraph"/>
              <w:rPr>
                <w:sz w:val="16"/>
              </w:rPr>
            </w:pPr>
          </w:p>
        </w:tc>
        <w:tc>
          <w:tcPr>
            <w:tcW w:w="880" w:type="dxa"/>
            <w:tcBorders>
              <w:top w:val="single" w:sz="12" w:space="0" w:color="000000"/>
            </w:tcBorders>
          </w:tcPr>
          <w:p w:rsidR="007A0FE6" w:rsidRDefault="007A0FE6">
            <w:pPr>
              <w:pStyle w:val="TableParagraph"/>
              <w:rPr>
                <w:sz w:val="16"/>
              </w:rPr>
            </w:pPr>
          </w:p>
        </w:tc>
        <w:tc>
          <w:tcPr>
            <w:tcW w:w="1426" w:type="dxa"/>
            <w:tcBorders>
              <w:top w:val="single" w:sz="12" w:space="0" w:color="000000"/>
            </w:tcBorders>
          </w:tcPr>
          <w:p w:rsidR="007A0FE6" w:rsidRDefault="007A0FE6">
            <w:pPr>
              <w:pStyle w:val="TableParagraph"/>
              <w:rPr>
                <w:sz w:val="16"/>
              </w:rPr>
            </w:pPr>
          </w:p>
        </w:tc>
        <w:tc>
          <w:tcPr>
            <w:tcW w:w="765" w:type="dxa"/>
            <w:tcBorders>
              <w:top w:val="single" w:sz="12" w:space="0" w:color="000000"/>
            </w:tcBorders>
          </w:tcPr>
          <w:p w:rsidR="007A0FE6" w:rsidRDefault="007A0FE6">
            <w:pPr>
              <w:pStyle w:val="TableParagraph"/>
              <w:rPr>
                <w:sz w:val="16"/>
              </w:rPr>
            </w:pPr>
          </w:p>
        </w:tc>
        <w:tc>
          <w:tcPr>
            <w:tcW w:w="586" w:type="dxa"/>
            <w:tcBorders>
              <w:top w:val="single" w:sz="12" w:space="0" w:color="000000"/>
            </w:tcBorders>
          </w:tcPr>
          <w:p w:rsidR="007A0FE6" w:rsidRDefault="007A0FE6">
            <w:pPr>
              <w:pStyle w:val="TableParagraph"/>
              <w:rPr>
                <w:sz w:val="16"/>
              </w:rPr>
            </w:pPr>
          </w:p>
        </w:tc>
        <w:tc>
          <w:tcPr>
            <w:tcW w:w="1707" w:type="dxa"/>
            <w:tcBorders>
              <w:top w:val="single" w:sz="12" w:space="0" w:color="000000"/>
            </w:tcBorders>
          </w:tcPr>
          <w:p w:rsidR="007A0FE6" w:rsidRDefault="007A0FE6">
            <w:pPr>
              <w:pStyle w:val="TableParagraph"/>
              <w:rPr>
                <w:sz w:val="16"/>
              </w:rPr>
            </w:pPr>
          </w:p>
        </w:tc>
      </w:tr>
      <w:tr w:rsidR="007A0FE6">
        <w:trPr>
          <w:trHeight w:val="230"/>
        </w:trPr>
        <w:tc>
          <w:tcPr>
            <w:tcW w:w="2156" w:type="dxa"/>
          </w:tcPr>
          <w:p w:rsidR="007A0FE6" w:rsidRDefault="005C2DF8">
            <w:pPr>
              <w:pStyle w:val="TableParagraph"/>
              <w:spacing w:line="210" w:lineRule="exact"/>
              <w:ind w:left="653" w:right="699"/>
              <w:jc w:val="center"/>
              <w:rPr>
                <w:sz w:val="20"/>
              </w:rPr>
            </w:pPr>
            <w:r>
              <w:rPr>
                <w:sz w:val="20"/>
              </w:rPr>
              <w:t>Pre-test</w:t>
            </w:r>
          </w:p>
        </w:tc>
        <w:tc>
          <w:tcPr>
            <w:tcW w:w="383" w:type="dxa"/>
          </w:tcPr>
          <w:p w:rsidR="007A0FE6" w:rsidRDefault="005C2DF8">
            <w:pPr>
              <w:pStyle w:val="TableParagraph"/>
              <w:spacing w:line="210" w:lineRule="exact"/>
              <w:ind w:left="32"/>
              <w:rPr>
                <w:sz w:val="20"/>
              </w:rPr>
            </w:pPr>
            <w:r>
              <w:rPr>
                <w:sz w:val="20"/>
              </w:rPr>
              <w:t>26</w:t>
            </w:r>
          </w:p>
        </w:tc>
        <w:tc>
          <w:tcPr>
            <w:tcW w:w="800" w:type="dxa"/>
          </w:tcPr>
          <w:p w:rsidR="007A0FE6" w:rsidRDefault="005C2DF8">
            <w:pPr>
              <w:pStyle w:val="TableParagraph"/>
              <w:spacing w:line="210" w:lineRule="exact"/>
              <w:ind w:left="129" w:right="80"/>
              <w:jc w:val="center"/>
              <w:rPr>
                <w:sz w:val="20"/>
              </w:rPr>
            </w:pPr>
            <w:r>
              <w:rPr>
                <w:sz w:val="20"/>
              </w:rPr>
              <w:t>2.7692</w:t>
            </w:r>
          </w:p>
        </w:tc>
        <w:tc>
          <w:tcPr>
            <w:tcW w:w="880" w:type="dxa"/>
          </w:tcPr>
          <w:p w:rsidR="007A0FE6" w:rsidRDefault="005C2DF8">
            <w:pPr>
              <w:pStyle w:val="TableParagraph"/>
              <w:spacing w:line="210" w:lineRule="exact"/>
              <w:ind w:left="80" w:right="110"/>
              <w:jc w:val="center"/>
              <w:rPr>
                <w:sz w:val="20"/>
              </w:rPr>
            </w:pPr>
            <w:r>
              <w:rPr>
                <w:sz w:val="20"/>
              </w:rPr>
              <w:t>0.90808</w:t>
            </w:r>
          </w:p>
        </w:tc>
        <w:tc>
          <w:tcPr>
            <w:tcW w:w="1426" w:type="dxa"/>
          </w:tcPr>
          <w:p w:rsidR="007A0FE6" w:rsidRDefault="005C2DF8">
            <w:pPr>
              <w:pStyle w:val="TableParagraph"/>
              <w:spacing w:line="210" w:lineRule="exact"/>
              <w:ind w:left="84" w:right="31"/>
              <w:jc w:val="center"/>
              <w:rPr>
                <w:sz w:val="20"/>
              </w:rPr>
            </w:pPr>
            <w:r>
              <w:rPr>
                <w:sz w:val="20"/>
              </w:rPr>
              <w:t>0.17809</w:t>
            </w:r>
          </w:p>
        </w:tc>
        <w:tc>
          <w:tcPr>
            <w:tcW w:w="765" w:type="dxa"/>
          </w:tcPr>
          <w:p w:rsidR="007A0FE6" w:rsidRDefault="005C2DF8">
            <w:pPr>
              <w:pStyle w:val="TableParagraph"/>
              <w:spacing w:line="210" w:lineRule="exact"/>
              <w:ind w:left="28" w:right="80"/>
              <w:jc w:val="center"/>
              <w:rPr>
                <w:sz w:val="20"/>
              </w:rPr>
            </w:pPr>
            <w:r>
              <w:rPr>
                <w:sz w:val="20"/>
              </w:rPr>
              <w:t>-0.3070</w:t>
            </w:r>
          </w:p>
        </w:tc>
        <w:tc>
          <w:tcPr>
            <w:tcW w:w="586" w:type="dxa"/>
          </w:tcPr>
          <w:p w:rsidR="007A0FE6" w:rsidRDefault="005C2DF8">
            <w:pPr>
              <w:pStyle w:val="TableParagraph"/>
              <w:spacing w:line="210" w:lineRule="exact"/>
              <w:ind w:left="146"/>
              <w:rPr>
                <w:sz w:val="20"/>
              </w:rPr>
            </w:pPr>
            <w:r>
              <w:rPr>
                <w:sz w:val="20"/>
              </w:rPr>
              <w:t>25</w:t>
            </w:r>
          </w:p>
        </w:tc>
        <w:tc>
          <w:tcPr>
            <w:tcW w:w="1707" w:type="dxa"/>
          </w:tcPr>
          <w:p w:rsidR="007A0FE6" w:rsidRDefault="005C2DF8">
            <w:pPr>
              <w:pStyle w:val="TableParagraph"/>
              <w:spacing w:line="210" w:lineRule="exact"/>
              <w:ind w:left="507"/>
              <w:rPr>
                <w:sz w:val="20"/>
              </w:rPr>
            </w:pPr>
            <w:r>
              <w:rPr>
                <w:sz w:val="20"/>
              </w:rPr>
              <w:t>0.05</w:t>
            </w:r>
          </w:p>
        </w:tc>
      </w:tr>
      <w:tr w:rsidR="007A0FE6">
        <w:trPr>
          <w:trHeight w:val="225"/>
        </w:trPr>
        <w:tc>
          <w:tcPr>
            <w:tcW w:w="2156" w:type="dxa"/>
          </w:tcPr>
          <w:p w:rsidR="007A0FE6" w:rsidRDefault="005C2DF8">
            <w:pPr>
              <w:pStyle w:val="TableParagraph"/>
              <w:spacing w:line="205" w:lineRule="exact"/>
              <w:ind w:left="727" w:right="699"/>
              <w:jc w:val="center"/>
              <w:rPr>
                <w:sz w:val="20"/>
              </w:rPr>
            </w:pPr>
            <w:r>
              <w:rPr>
                <w:sz w:val="20"/>
              </w:rPr>
              <w:t>Post-test</w:t>
            </w:r>
          </w:p>
        </w:tc>
        <w:tc>
          <w:tcPr>
            <w:tcW w:w="383" w:type="dxa"/>
          </w:tcPr>
          <w:p w:rsidR="007A0FE6" w:rsidRDefault="005C2DF8">
            <w:pPr>
              <w:pStyle w:val="TableParagraph"/>
              <w:spacing w:line="205" w:lineRule="exact"/>
              <w:ind w:left="32"/>
              <w:rPr>
                <w:sz w:val="20"/>
              </w:rPr>
            </w:pPr>
            <w:r>
              <w:rPr>
                <w:sz w:val="20"/>
              </w:rPr>
              <w:t>26</w:t>
            </w:r>
          </w:p>
        </w:tc>
        <w:tc>
          <w:tcPr>
            <w:tcW w:w="800" w:type="dxa"/>
          </w:tcPr>
          <w:p w:rsidR="007A0FE6" w:rsidRDefault="005C2DF8">
            <w:pPr>
              <w:pStyle w:val="TableParagraph"/>
              <w:spacing w:line="205" w:lineRule="exact"/>
              <w:ind w:left="129" w:right="80"/>
              <w:jc w:val="center"/>
              <w:rPr>
                <w:sz w:val="20"/>
              </w:rPr>
            </w:pPr>
            <w:r>
              <w:rPr>
                <w:sz w:val="20"/>
              </w:rPr>
              <w:t>2.9808</w:t>
            </w:r>
          </w:p>
        </w:tc>
        <w:tc>
          <w:tcPr>
            <w:tcW w:w="880" w:type="dxa"/>
          </w:tcPr>
          <w:p w:rsidR="007A0FE6" w:rsidRDefault="005C2DF8">
            <w:pPr>
              <w:pStyle w:val="TableParagraph"/>
              <w:spacing w:line="205" w:lineRule="exact"/>
              <w:ind w:left="80" w:right="110"/>
              <w:jc w:val="center"/>
              <w:rPr>
                <w:sz w:val="20"/>
              </w:rPr>
            </w:pPr>
            <w:r>
              <w:rPr>
                <w:sz w:val="20"/>
              </w:rPr>
              <w:t>1.16173</w:t>
            </w:r>
          </w:p>
        </w:tc>
        <w:tc>
          <w:tcPr>
            <w:tcW w:w="1426" w:type="dxa"/>
          </w:tcPr>
          <w:p w:rsidR="007A0FE6" w:rsidRDefault="005C2DF8">
            <w:pPr>
              <w:pStyle w:val="TableParagraph"/>
              <w:spacing w:line="205" w:lineRule="exact"/>
              <w:ind w:left="84" w:right="31"/>
              <w:jc w:val="center"/>
              <w:rPr>
                <w:sz w:val="20"/>
              </w:rPr>
            </w:pPr>
            <w:r>
              <w:rPr>
                <w:sz w:val="20"/>
              </w:rPr>
              <w:t>0.22783</w:t>
            </w:r>
          </w:p>
        </w:tc>
        <w:tc>
          <w:tcPr>
            <w:tcW w:w="765" w:type="dxa"/>
          </w:tcPr>
          <w:p w:rsidR="007A0FE6" w:rsidRDefault="007A0FE6">
            <w:pPr>
              <w:pStyle w:val="TableParagraph"/>
              <w:rPr>
                <w:sz w:val="16"/>
              </w:rPr>
            </w:pPr>
          </w:p>
        </w:tc>
        <w:tc>
          <w:tcPr>
            <w:tcW w:w="586" w:type="dxa"/>
          </w:tcPr>
          <w:p w:rsidR="007A0FE6" w:rsidRDefault="007A0FE6">
            <w:pPr>
              <w:pStyle w:val="TableParagraph"/>
              <w:rPr>
                <w:sz w:val="16"/>
              </w:rPr>
            </w:pPr>
          </w:p>
        </w:tc>
        <w:tc>
          <w:tcPr>
            <w:tcW w:w="1707" w:type="dxa"/>
          </w:tcPr>
          <w:p w:rsidR="007A0FE6" w:rsidRDefault="007A0FE6">
            <w:pPr>
              <w:pStyle w:val="TableParagraph"/>
              <w:rPr>
                <w:sz w:val="16"/>
              </w:rPr>
            </w:pPr>
          </w:p>
        </w:tc>
      </w:tr>
      <w:tr w:rsidR="007A0FE6">
        <w:trPr>
          <w:trHeight w:val="458"/>
        </w:trPr>
        <w:tc>
          <w:tcPr>
            <w:tcW w:w="2156" w:type="dxa"/>
          </w:tcPr>
          <w:p w:rsidR="007A0FE6" w:rsidRDefault="007A0FE6">
            <w:pPr>
              <w:pStyle w:val="TableParagraph"/>
              <w:spacing w:before="10"/>
              <w:rPr>
                <w:sz w:val="19"/>
              </w:rPr>
            </w:pPr>
          </w:p>
          <w:p w:rsidR="007A0FE6" w:rsidRDefault="005C2DF8">
            <w:pPr>
              <w:pStyle w:val="TableParagraph"/>
              <w:spacing w:line="210" w:lineRule="exact"/>
              <w:ind w:left="28"/>
              <w:rPr>
                <w:b/>
                <w:sz w:val="20"/>
              </w:rPr>
            </w:pPr>
            <w:r>
              <w:rPr>
                <w:b/>
                <w:sz w:val="20"/>
              </w:rPr>
              <w:t>Listening</w:t>
            </w:r>
          </w:p>
        </w:tc>
        <w:tc>
          <w:tcPr>
            <w:tcW w:w="383" w:type="dxa"/>
          </w:tcPr>
          <w:p w:rsidR="007A0FE6" w:rsidRDefault="007A0FE6">
            <w:pPr>
              <w:pStyle w:val="TableParagraph"/>
              <w:rPr>
                <w:sz w:val="20"/>
              </w:rPr>
            </w:pPr>
          </w:p>
        </w:tc>
        <w:tc>
          <w:tcPr>
            <w:tcW w:w="800" w:type="dxa"/>
          </w:tcPr>
          <w:p w:rsidR="007A0FE6" w:rsidRDefault="007A0FE6">
            <w:pPr>
              <w:pStyle w:val="TableParagraph"/>
              <w:rPr>
                <w:sz w:val="20"/>
              </w:rPr>
            </w:pPr>
          </w:p>
        </w:tc>
        <w:tc>
          <w:tcPr>
            <w:tcW w:w="880" w:type="dxa"/>
          </w:tcPr>
          <w:p w:rsidR="007A0FE6" w:rsidRDefault="007A0FE6">
            <w:pPr>
              <w:pStyle w:val="TableParagraph"/>
              <w:rPr>
                <w:sz w:val="20"/>
              </w:rPr>
            </w:pPr>
          </w:p>
        </w:tc>
        <w:tc>
          <w:tcPr>
            <w:tcW w:w="1426" w:type="dxa"/>
          </w:tcPr>
          <w:p w:rsidR="007A0FE6" w:rsidRDefault="007A0FE6">
            <w:pPr>
              <w:pStyle w:val="TableParagraph"/>
              <w:rPr>
                <w:sz w:val="20"/>
              </w:rPr>
            </w:pPr>
          </w:p>
        </w:tc>
        <w:tc>
          <w:tcPr>
            <w:tcW w:w="765" w:type="dxa"/>
          </w:tcPr>
          <w:p w:rsidR="007A0FE6" w:rsidRDefault="007A0FE6">
            <w:pPr>
              <w:pStyle w:val="TableParagraph"/>
              <w:rPr>
                <w:sz w:val="20"/>
              </w:rPr>
            </w:pPr>
          </w:p>
        </w:tc>
        <w:tc>
          <w:tcPr>
            <w:tcW w:w="586" w:type="dxa"/>
          </w:tcPr>
          <w:p w:rsidR="007A0FE6" w:rsidRDefault="007A0FE6">
            <w:pPr>
              <w:pStyle w:val="TableParagraph"/>
              <w:rPr>
                <w:sz w:val="20"/>
              </w:rPr>
            </w:pPr>
          </w:p>
        </w:tc>
        <w:tc>
          <w:tcPr>
            <w:tcW w:w="1707" w:type="dxa"/>
          </w:tcPr>
          <w:p w:rsidR="007A0FE6" w:rsidRDefault="007A0FE6">
            <w:pPr>
              <w:pStyle w:val="TableParagraph"/>
              <w:rPr>
                <w:sz w:val="20"/>
              </w:rPr>
            </w:pPr>
          </w:p>
        </w:tc>
      </w:tr>
      <w:tr w:rsidR="007A0FE6">
        <w:trPr>
          <w:trHeight w:val="235"/>
        </w:trPr>
        <w:tc>
          <w:tcPr>
            <w:tcW w:w="2156" w:type="dxa"/>
          </w:tcPr>
          <w:p w:rsidR="007A0FE6" w:rsidRDefault="005C2DF8">
            <w:pPr>
              <w:pStyle w:val="TableParagraph"/>
              <w:spacing w:line="205" w:lineRule="exact"/>
              <w:ind w:left="720" w:right="699"/>
              <w:jc w:val="center"/>
              <w:rPr>
                <w:sz w:val="20"/>
              </w:rPr>
            </w:pPr>
            <w:r>
              <w:rPr>
                <w:sz w:val="20"/>
              </w:rPr>
              <w:t>Pre-Test</w:t>
            </w:r>
          </w:p>
        </w:tc>
        <w:tc>
          <w:tcPr>
            <w:tcW w:w="383" w:type="dxa"/>
          </w:tcPr>
          <w:p w:rsidR="007A0FE6" w:rsidRDefault="005C2DF8">
            <w:pPr>
              <w:pStyle w:val="TableParagraph"/>
              <w:spacing w:line="205" w:lineRule="exact"/>
              <w:ind w:left="32"/>
              <w:rPr>
                <w:sz w:val="20"/>
              </w:rPr>
            </w:pPr>
            <w:r>
              <w:rPr>
                <w:sz w:val="20"/>
              </w:rPr>
              <w:t>26</w:t>
            </w:r>
          </w:p>
        </w:tc>
        <w:tc>
          <w:tcPr>
            <w:tcW w:w="800" w:type="dxa"/>
          </w:tcPr>
          <w:p w:rsidR="007A0FE6" w:rsidRDefault="005C2DF8">
            <w:pPr>
              <w:pStyle w:val="TableParagraph"/>
              <w:spacing w:line="205" w:lineRule="exact"/>
              <w:ind w:left="129" w:right="80"/>
              <w:jc w:val="center"/>
              <w:rPr>
                <w:sz w:val="20"/>
              </w:rPr>
            </w:pPr>
            <w:r>
              <w:rPr>
                <w:sz w:val="20"/>
              </w:rPr>
              <w:t>1.9038</w:t>
            </w:r>
          </w:p>
        </w:tc>
        <w:tc>
          <w:tcPr>
            <w:tcW w:w="880" w:type="dxa"/>
          </w:tcPr>
          <w:p w:rsidR="007A0FE6" w:rsidRDefault="005C2DF8">
            <w:pPr>
              <w:pStyle w:val="TableParagraph"/>
              <w:spacing w:line="205" w:lineRule="exact"/>
              <w:ind w:left="80" w:right="110"/>
              <w:jc w:val="center"/>
              <w:rPr>
                <w:sz w:val="20"/>
              </w:rPr>
            </w:pPr>
            <w:r>
              <w:rPr>
                <w:sz w:val="20"/>
              </w:rPr>
              <w:t>0.88339</w:t>
            </w:r>
          </w:p>
        </w:tc>
        <w:tc>
          <w:tcPr>
            <w:tcW w:w="1426" w:type="dxa"/>
          </w:tcPr>
          <w:p w:rsidR="007A0FE6" w:rsidRDefault="005C2DF8">
            <w:pPr>
              <w:pStyle w:val="TableParagraph"/>
              <w:spacing w:line="205" w:lineRule="exact"/>
              <w:ind w:left="84" w:right="31"/>
              <w:jc w:val="center"/>
              <w:rPr>
                <w:sz w:val="20"/>
              </w:rPr>
            </w:pPr>
            <w:r>
              <w:rPr>
                <w:sz w:val="20"/>
              </w:rPr>
              <w:t>0.17325</w:t>
            </w:r>
          </w:p>
        </w:tc>
        <w:tc>
          <w:tcPr>
            <w:tcW w:w="765" w:type="dxa"/>
          </w:tcPr>
          <w:p w:rsidR="007A0FE6" w:rsidRDefault="005C2DF8">
            <w:pPr>
              <w:pStyle w:val="TableParagraph"/>
              <w:spacing w:line="205" w:lineRule="exact"/>
              <w:ind w:left="27" w:right="80"/>
              <w:jc w:val="center"/>
              <w:rPr>
                <w:sz w:val="20"/>
              </w:rPr>
            </w:pPr>
            <w:r>
              <w:rPr>
                <w:sz w:val="20"/>
              </w:rPr>
              <w:t>-3.112</w:t>
            </w:r>
          </w:p>
        </w:tc>
        <w:tc>
          <w:tcPr>
            <w:tcW w:w="586" w:type="dxa"/>
          </w:tcPr>
          <w:p w:rsidR="007A0FE6" w:rsidRDefault="005C2DF8">
            <w:pPr>
              <w:pStyle w:val="TableParagraph"/>
              <w:spacing w:line="205" w:lineRule="exact"/>
              <w:ind w:left="145"/>
              <w:rPr>
                <w:sz w:val="20"/>
              </w:rPr>
            </w:pPr>
            <w:r>
              <w:rPr>
                <w:sz w:val="20"/>
              </w:rPr>
              <w:t>25</w:t>
            </w:r>
          </w:p>
        </w:tc>
        <w:tc>
          <w:tcPr>
            <w:tcW w:w="1707" w:type="dxa"/>
          </w:tcPr>
          <w:p w:rsidR="007A0FE6" w:rsidRDefault="005C2DF8">
            <w:pPr>
              <w:pStyle w:val="TableParagraph"/>
              <w:spacing w:line="205" w:lineRule="exact"/>
              <w:ind w:left="557"/>
              <w:rPr>
                <w:sz w:val="20"/>
              </w:rPr>
            </w:pPr>
            <w:r>
              <w:rPr>
                <w:sz w:val="20"/>
              </w:rPr>
              <w:t>0.005</w:t>
            </w:r>
          </w:p>
        </w:tc>
      </w:tr>
      <w:tr w:rsidR="007A0FE6">
        <w:trPr>
          <w:trHeight w:val="225"/>
        </w:trPr>
        <w:tc>
          <w:tcPr>
            <w:tcW w:w="2156" w:type="dxa"/>
          </w:tcPr>
          <w:p w:rsidR="007A0FE6" w:rsidRDefault="005C2DF8">
            <w:pPr>
              <w:pStyle w:val="TableParagraph"/>
              <w:spacing w:line="205" w:lineRule="exact"/>
              <w:ind w:left="748"/>
              <w:rPr>
                <w:sz w:val="20"/>
              </w:rPr>
            </w:pPr>
            <w:r>
              <w:rPr>
                <w:sz w:val="20"/>
              </w:rPr>
              <w:t>Post-Test</w:t>
            </w:r>
          </w:p>
        </w:tc>
        <w:tc>
          <w:tcPr>
            <w:tcW w:w="383" w:type="dxa"/>
          </w:tcPr>
          <w:p w:rsidR="007A0FE6" w:rsidRDefault="005C2DF8">
            <w:pPr>
              <w:pStyle w:val="TableParagraph"/>
              <w:spacing w:line="205" w:lineRule="exact"/>
              <w:ind w:left="32"/>
              <w:rPr>
                <w:sz w:val="20"/>
              </w:rPr>
            </w:pPr>
            <w:r>
              <w:rPr>
                <w:sz w:val="20"/>
              </w:rPr>
              <w:t>26</w:t>
            </w:r>
          </w:p>
        </w:tc>
        <w:tc>
          <w:tcPr>
            <w:tcW w:w="800" w:type="dxa"/>
          </w:tcPr>
          <w:p w:rsidR="007A0FE6" w:rsidRDefault="005C2DF8">
            <w:pPr>
              <w:pStyle w:val="TableParagraph"/>
              <w:spacing w:line="205" w:lineRule="exact"/>
              <w:ind w:left="129" w:right="80"/>
              <w:jc w:val="center"/>
              <w:rPr>
                <w:sz w:val="20"/>
              </w:rPr>
            </w:pPr>
            <w:r>
              <w:rPr>
                <w:sz w:val="20"/>
              </w:rPr>
              <w:t>2.1923</w:t>
            </w:r>
          </w:p>
        </w:tc>
        <w:tc>
          <w:tcPr>
            <w:tcW w:w="880" w:type="dxa"/>
          </w:tcPr>
          <w:p w:rsidR="007A0FE6" w:rsidRDefault="005C2DF8">
            <w:pPr>
              <w:pStyle w:val="TableParagraph"/>
              <w:spacing w:line="205" w:lineRule="exact"/>
              <w:ind w:left="80" w:right="110"/>
              <w:jc w:val="center"/>
              <w:rPr>
                <w:sz w:val="20"/>
              </w:rPr>
            </w:pPr>
            <w:r>
              <w:rPr>
                <w:sz w:val="20"/>
              </w:rPr>
              <w:t>1.17539</w:t>
            </w:r>
          </w:p>
        </w:tc>
        <w:tc>
          <w:tcPr>
            <w:tcW w:w="1426" w:type="dxa"/>
          </w:tcPr>
          <w:p w:rsidR="007A0FE6" w:rsidRDefault="005C2DF8">
            <w:pPr>
              <w:pStyle w:val="TableParagraph"/>
              <w:spacing w:line="205" w:lineRule="exact"/>
              <w:ind w:left="109" w:right="22"/>
              <w:jc w:val="center"/>
              <w:rPr>
                <w:sz w:val="20"/>
              </w:rPr>
            </w:pPr>
            <w:r>
              <w:rPr>
                <w:sz w:val="20"/>
              </w:rPr>
              <w:t>0.23051</w:t>
            </w:r>
          </w:p>
        </w:tc>
        <w:tc>
          <w:tcPr>
            <w:tcW w:w="765" w:type="dxa"/>
          </w:tcPr>
          <w:p w:rsidR="007A0FE6" w:rsidRDefault="007A0FE6">
            <w:pPr>
              <w:pStyle w:val="TableParagraph"/>
              <w:rPr>
                <w:sz w:val="16"/>
              </w:rPr>
            </w:pPr>
          </w:p>
        </w:tc>
        <w:tc>
          <w:tcPr>
            <w:tcW w:w="586" w:type="dxa"/>
          </w:tcPr>
          <w:p w:rsidR="007A0FE6" w:rsidRDefault="007A0FE6">
            <w:pPr>
              <w:pStyle w:val="TableParagraph"/>
              <w:rPr>
                <w:sz w:val="16"/>
              </w:rPr>
            </w:pPr>
          </w:p>
        </w:tc>
        <w:tc>
          <w:tcPr>
            <w:tcW w:w="1707" w:type="dxa"/>
          </w:tcPr>
          <w:p w:rsidR="007A0FE6" w:rsidRDefault="007A0FE6">
            <w:pPr>
              <w:pStyle w:val="TableParagraph"/>
              <w:rPr>
                <w:sz w:val="16"/>
              </w:rPr>
            </w:pPr>
          </w:p>
        </w:tc>
      </w:tr>
      <w:tr w:rsidR="007A0FE6">
        <w:trPr>
          <w:trHeight w:val="460"/>
        </w:trPr>
        <w:tc>
          <w:tcPr>
            <w:tcW w:w="2156" w:type="dxa"/>
          </w:tcPr>
          <w:p w:rsidR="007A0FE6" w:rsidRDefault="007A0FE6">
            <w:pPr>
              <w:pStyle w:val="TableParagraph"/>
              <w:spacing w:before="1"/>
              <w:rPr>
                <w:sz w:val="20"/>
              </w:rPr>
            </w:pPr>
          </w:p>
          <w:p w:rsidR="007A0FE6" w:rsidRDefault="005C2DF8">
            <w:pPr>
              <w:pStyle w:val="TableParagraph"/>
              <w:spacing w:line="210" w:lineRule="exact"/>
              <w:ind w:left="28"/>
              <w:rPr>
                <w:b/>
                <w:sz w:val="20"/>
              </w:rPr>
            </w:pPr>
            <w:r>
              <w:rPr>
                <w:b/>
                <w:sz w:val="20"/>
              </w:rPr>
              <w:t>Reading</w:t>
            </w:r>
          </w:p>
        </w:tc>
        <w:tc>
          <w:tcPr>
            <w:tcW w:w="383" w:type="dxa"/>
          </w:tcPr>
          <w:p w:rsidR="007A0FE6" w:rsidRDefault="007A0FE6">
            <w:pPr>
              <w:pStyle w:val="TableParagraph"/>
              <w:rPr>
                <w:sz w:val="20"/>
              </w:rPr>
            </w:pPr>
          </w:p>
        </w:tc>
        <w:tc>
          <w:tcPr>
            <w:tcW w:w="800" w:type="dxa"/>
          </w:tcPr>
          <w:p w:rsidR="007A0FE6" w:rsidRDefault="007A0FE6">
            <w:pPr>
              <w:pStyle w:val="TableParagraph"/>
              <w:rPr>
                <w:sz w:val="20"/>
              </w:rPr>
            </w:pPr>
          </w:p>
        </w:tc>
        <w:tc>
          <w:tcPr>
            <w:tcW w:w="880" w:type="dxa"/>
          </w:tcPr>
          <w:p w:rsidR="007A0FE6" w:rsidRDefault="007A0FE6">
            <w:pPr>
              <w:pStyle w:val="TableParagraph"/>
              <w:rPr>
                <w:sz w:val="20"/>
              </w:rPr>
            </w:pPr>
          </w:p>
        </w:tc>
        <w:tc>
          <w:tcPr>
            <w:tcW w:w="1426" w:type="dxa"/>
          </w:tcPr>
          <w:p w:rsidR="007A0FE6" w:rsidRDefault="007A0FE6">
            <w:pPr>
              <w:pStyle w:val="TableParagraph"/>
              <w:rPr>
                <w:sz w:val="20"/>
              </w:rPr>
            </w:pPr>
          </w:p>
        </w:tc>
        <w:tc>
          <w:tcPr>
            <w:tcW w:w="765" w:type="dxa"/>
          </w:tcPr>
          <w:p w:rsidR="007A0FE6" w:rsidRDefault="007A0FE6">
            <w:pPr>
              <w:pStyle w:val="TableParagraph"/>
              <w:rPr>
                <w:sz w:val="20"/>
              </w:rPr>
            </w:pPr>
          </w:p>
        </w:tc>
        <w:tc>
          <w:tcPr>
            <w:tcW w:w="586" w:type="dxa"/>
          </w:tcPr>
          <w:p w:rsidR="007A0FE6" w:rsidRDefault="007A0FE6">
            <w:pPr>
              <w:pStyle w:val="TableParagraph"/>
              <w:rPr>
                <w:sz w:val="20"/>
              </w:rPr>
            </w:pPr>
          </w:p>
        </w:tc>
        <w:tc>
          <w:tcPr>
            <w:tcW w:w="1707" w:type="dxa"/>
          </w:tcPr>
          <w:p w:rsidR="007A0FE6" w:rsidRDefault="007A0FE6">
            <w:pPr>
              <w:pStyle w:val="TableParagraph"/>
              <w:rPr>
                <w:sz w:val="20"/>
              </w:rPr>
            </w:pPr>
          </w:p>
        </w:tc>
      </w:tr>
      <w:tr w:rsidR="007A0FE6">
        <w:trPr>
          <w:trHeight w:val="232"/>
        </w:trPr>
        <w:tc>
          <w:tcPr>
            <w:tcW w:w="2156" w:type="dxa"/>
          </w:tcPr>
          <w:p w:rsidR="007A0FE6" w:rsidRDefault="005C2DF8">
            <w:pPr>
              <w:pStyle w:val="TableParagraph"/>
              <w:spacing w:line="205" w:lineRule="exact"/>
              <w:ind w:left="720" w:right="699"/>
              <w:jc w:val="center"/>
              <w:rPr>
                <w:sz w:val="20"/>
              </w:rPr>
            </w:pPr>
            <w:r>
              <w:rPr>
                <w:sz w:val="20"/>
              </w:rPr>
              <w:t>Pre-Test</w:t>
            </w:r>
          </w:p>
        </w:tc>
        <w:tc>
          <w:tcPr>
            <w:tcW w:w="383" w:type="dxa"/>
          </w:tcPr>
          <w:p w:rsidR="007A0FE6" w:rsidRDefault="005C2DF8">
            <w:pPr>
              <w:pStyle w:val="TableParagraph"/>
              <w:spacing w:line="205" w:lineRule="exact"/>
              <w:ind w:left="32"/>
              <w:rPr>
                <w:sz w:val="20"/>
              </w:rPr>
            </w:pPr>
            <w:r>
              <w:rPr>
                <w:sz w:val="20"/>
              </w:rPr>
              <w:t>26</w:t>
            </w:r>
          </w:p>
        </w:tc>
        <w:tc>
          <w:tcPr>
            <w:tcW w:w="800" w:type="dxa"/>
          </w:tcPr>
          <w:p w:rsidR="007A0FE6" w:rsidRDefault="005C2DF8">
            <w:pPr>
              <w:pStyle w:val="TableParagraph"/>
              <w:spacing w:line="205" w:lineRule="exact"/>
              <w:ind w:left="129" w:right="80"/>
              <w:jc w:val="center"/>
              <w:rPr>
                <w:sz w:val="20"/>
              </w:rPr>
            </w:pPr>
            <w:r>
              <w:rPr>
                <w:sz w:val="20"/>
              </w:rPr>
              <w:t>3.6154</w:t>
            </w:r>
          </w:p>
        </w:tc>
        <w:tc>
          <w:tcPr>
            <w:tcW w:w="880" w:type="dxa"/>
          </w:tcPr>
          <w:p w:rsidR="007A0FE6" w:rsidRDefault="005C2DF8">
            <w:pPr>
              <w:pStyle w:val="TableParagraph"/>
              <w:spacing w:line="205" w:lineRule="exact"/>
              <w:ind w:left="80" w:right="110"/>
              <w:jc w:val="center"/>
              <w:rPr>
                <w:sz w:val="20"/>
              </w:rPr>
            </w:pPr>
            <w:r>
              <w:rPr>
                <w:sz w:val="20"/>
              </w:rPr>
              <w:t>1.03255</w:t>
            </w:r>
          </w:p>
        </w:tc>
        <w:tc>
          <w:tcPr>
            <w:tcW w:w="1426" w:type="dxa"/>
          </w:tcPr>
          <w:p w:rsidR="007A0FE6" w:rsidRDefault="005C2DF8">
            <w:pPr>
              <w:pStyle w:val="TableParagraph"/>
              <w:spacing w:line="205" w:lineRule="exact"/>
              <w:ind w:left="84" w:right="31"/>
              <w:jc w:val="center"/>
              <w:rPr>
                <w:sz w:val="20"/>
              </w:rPr>
            </w:pPr>
            <w:r>
              <w:rPr>
                <w:sz w:val="20"/>
              </w:rPr>
              <w:t>0.20250</w:t>
            </w:r>
          </w:p>
        </w:tc>
        <w:tc>
          <w:tcPr>
            <w:tcW w:w="765" w:type="dxa"/>
          </w:tcPr>
          <w:p w:rsidR="007A0FE6" w:rsidRDefault="005C2DF8">
            <w:pPr>
              <w:pStyle w:val="TableParagraph"/>
              <w:spacing w:line="205" w:lineRule="exact"/>
              <w:ind w:left="27" w:right="80"/>
              <w:jc w:val="center"/>
              <w:rPr>
                <w:sz w:val="20"/>
              </w:rPr>
            </w:pPr>
            <w:r>
              <w:rPr>
                <w:sz w:val="20"/>
              </w:rPr>
              <w:t>-3.112</w:t>
            </w:r>
          </w:p>
        </w:tc>
        <w:tc>
          <w:tcPr>
            <w:tcW w:w="586" w:type="dxa"/>
          </w:tcPr>
          <w:p w:rsidR="007A0FE6" w:rsidRDefault="005C2DF8">
            <w:pPr>
              <w:pStyle w:val="TableParagraph"/>
              <w:spacing w:line="205" w:lineRule="exact"/>
              <w:ind w:left="145"/>
              <w:rPr>
                <w:sz w:val="20"/>
              </w:rPr>
            </w:pPr>
            <w:r>
              <w:rPr>
                <w:sz w:val="20"/>
              </w:rPr>
              <w:t>25</w:t>
            </w:r>
          </w:p>
        </w:tc>
        <w:tc>
          <w:tcPr>
            <w:tcW w:w="1707" w:type="dxa"/>
          </w:tcPr>
          <w:p w:rsidR="007A0FE6" w:rsidRDefault="005C2DF8">
            <w:pPr>
              <w:pStyle w:val="TableParagraph"/>
              <w:spacing w:line="205" w:lineRule="exact"/>
              <w:ind w:left="562"/>
              <w:rPr>
                <w:sz w:val="20"/>
              </w:rPr>
            </w:pPr>
            <w:r>
              <w:rPr>
                <w:sz w:val="20"/>
              </w:rPr>
              <w:t>0.005</w:t>
            </w:r>
          </w:p>
        </w:tc>
      </w:tr>
      <w:tr w:rsidR="007A0FE6">
        <w:trPr>
          <w:trHeight w:val="225"/>
        </w:trPr>
        <w:tc>
          <w:tcPr>
            <w:tcW w:w="2156" w:type="dxa"/>
          </w:tcPr>
          <w:p w:rsidR="007A0FE6" w:rsidRDefault="005C2DF8">
            <w:pPr>
              <w:pStyle w:val="TableParagraph"/>
              <w:spacing w:line="205" w:lineRule="exact"/>
              <w:ind w:left="748"/>
              <w:rPr>
                <w:sz w:val="20"/>
              </w:rPr>
            </w:pPr>
            <w:r>
              <w:rPr>
                <w:sz w:val="20"/>
              </w:rPr>
              <w:t>Post-Test</w:t>
            </w:r>
          </w:p>
        </w:tc>
        <w:tc>
          <w:tcPr>
            <w:tcW w:w="383" w:type="dxa"/>
          </w:tcPr>
          <w:p w:rsidR="007A0FE6" w:rsidRDefault="005C2DF8">
            <w:pPr>
              <w:pStyle w:val="TableParagraph"/>
              <w:spacing w:line="205" w:lineRule="exact"/>
              <w:ind w:left="32"/>
              <w:rPr>
                <w:sz w:val="20"/>
              </w:rPr>
            </w:pPr>
            <w:r>
              <w:rPr>
                <w:sz w:val="20"/>
              </w:rPr>
              <w:t>26</w:t>
            </w:r>
          </w:p>
        </w:tc>
        <w:tc>
          <w:tcPr>
            <w:tcW w:w="800" w:type="dxa"/>
          </w:tcPr>
          <w:p w:rsidR="007A0FE6" w:rsidRDefault="005C2DF8">
            <w:pPr>
              <w:pStyle w:val="TableParagraph"/>
              <w:spacing w:line="205" w:lineRule="exact"/>
              <w:ind w:left="129" w:right="80"/>
              <w:jc w:val="center"/>
              <w:rPr>
                <w:sz w:val="20"/>
              </w:rPr>
            </w:pPr>
            <w:r>
              <w:rPr>
                <w:sz w:val="20"/>
              </w:rPr>
              <w:t>3.9038</w:t>
            </w:r>
          </w:p>
        </w:tc>
        <w:tc>
          <w:tcPr>
            <w:tcW w:w="880" w:type="dxa"/>
          </w:tcPr>
          <w:p w:rsidR="007A0FE6" w:rsidRDefault="005C2DF8">
            <w:pPr>
              <w:pStyle w:val="TableParagraph"/>
              <w:spacing w:line="205" w:lineRule="exact"/>
              <w:ind w:left="80" w:right="110"/>
              <w:jc w:val="center"/>
              <w:rPr>
                <w:sz w:val="20"/>
              </w:rPr>
            </w:pPr>
            <w:r>
              <w:rPr>
                <w:sz w:val="20"/>
              </w:rPr>
              <w:t>1.36396</w:t>
            </w:r>
          </w:p>
        </w:tc>
        <w:tc>
          <w:tcPr>
            <w:tcW w:w="1426" w:type="dxa"/>
          </w:tcPr>
          <w:p w:rsidR="007A0FE6" w:rsidRDefault="005C2DF8">
            <w:pPr>
              <w:pStyle w:val="TableParagraph"/>
              <w:spacing w:line="205" w:lineRule="exact"/>
              <w:ind w:left="84" w:right="31"/>
              <w:jc w:val="center"/>
              <w:rPr>
                <w:sz w:val="20"/>
              </w:rPr>
            </w:pPr>
            <w:r>
              <w:rPr>
                <w:sz w:val="20"/>
              </w:rPr>
              <w:t>0.26749</w:t>
            </w:r>
          </w:p>
        </w:tc>
        <w:tc>
          <w:tcPr>
            <w:tcW w:w="765" w:type="dxa"/>
          </w:tcPr>
          <w:p w:rsidR="007A0FE6" w:rsidRDefault="007A0FE6">
            <w:pPr>
              <w:pStyle w:val="TableParagraph"/>
              <w:rPr>
                <w:sz w:val="16"/>
              </w:rPr>
            </w:pPr>
          </w:p>
        </w:tc>
        <w:tc>
          <w:tcPr>
            <w:tcW w:w="586" w:type="dxa"/>
          </w:tcPr>
          <w:p w:rsidR="007A0FE6" w:rsidRDefault="007A0FE6">
            <w:pPr>
              <w:pStyle w:val="TableParagraph"/>
              <w:rPr>
                <w:sz w:val="16"/>
              </w:rPr>
            </w:pPr>
          </w:p>
        </w:tc>
        <w:tc>
          <w:tcPr>
            <w:tcW w:w="1707" w:type="dxa"/>
          </w:tcPr>
          <w:p w:rsidR="007A0FE6" w:rsidRDefault="007A0FE6">
            <w:pPr>
              <w:pStyle w:val="TableParagraph"/>
              <w:rPr>
                <w:sz w:val="16"/>
              </w:rPr>
            </w:pPr>
          </w:p>
        </w:tc>
      </w:tr>
      <w:tr w:rsidR="007A0FE6">
        <w:trPr>
          <w:trHeight w:val="461"/>
        </w:trPr>
        <w:tc>
          <w:tcPr>
            <w:tcW w:w="2156" w:type="dxa"/>
          </w:tcPr>
          <w:p w:rsidR="007A0FE6" w:rsidRDefault="007A0FE6">
            <w:pPr>
              <w:pStyle w:val="TableParagraph"/>
              <w:spacing w:before="1"/>
              <w:rPr>
                <w:sz w:val="20"/>
              </w:rPr>
            </w:pPr>
          </w:p>
          <w:p w:rsidR="007A0FE6" w:rsidRDefault="005C2DF8">
            <w:pPr>
              <w:pStyle w:val="TableParagraph"/>
              <w:spacing w:line="210" w:lineRule="exact"/>
              <w:ind w:left="28"/>
              <w:rPr>
                <w:b/>
                <w:sz w:val="20"/>
              </w:rPr>
            </w:pPr>
            <w:r>
              <w:rPr>
                <w:b/>
                <w:sz w:val="20"/>
              </w:rPr>
              <w:t>Writing</w:t>
            </w:r>
          </w:p>
        </w:tc>
        <w:tc>
          <w:tcPr>
            <w:tcW w:w="383" w:type="dxa"/>
          </w:tcPr>
          <w:p w:rsidR="007A0FE6" w:rsidRDefault="007A0FE6">
            <w:pPr>
              <w:pStyle w:val="TableParagraph"/>
              <w:rPr>
                <w:sz w:val="20"/>
              </w:rPr>
            </w:pPr>
          </w:p>
        </w:tc>
        <w:tc>
          <w:tcPr>
            <w:tcW w:w="800" w:type="dxa"/>
          </w:tcPr>
          <w:p w:rsidR="007A0FE6" w:rsidRDefault="007A0FE6">
            <w:pPr>
              <w:pStyle w:val="TableParagraph"/>
              <w:rPr>
                <w:sz w:val="20"/>
              </w:rPr>
            </w:pPr>
          </w:p>
        </w:tc>
        <w:tc>
          <w:tcPr>
            <w:tcW w:w="880" w:type="dxa"/>
          </w:tcPr>
          <w:p w:rsidR="007A0FE6" w:rsidRDefault="007A0FE6">
            <w:pPr>
              <w:pStyle w:val="TableParagraph"/>
              <w:rPr>
                <w:sz w:val="20"/>
              </w:rPr>
            </w:pPr>
          </w:p>
        </w:tc>
        <w:tc>
          <w:tcPr>
            <w:tcW w:w="1426" w:type="dxa"/>
          </w:tcPr>
          <w:p w:rsidR="007A0FE6" w:rsidRDefault="007A0FE6">
            <w:pPr>
              <w:pStyle w:val="TableParagraph"/>
              <w:rPr>
                <w:sz w:val="20"/>
              </w:rPr>
            </w:pPr>
          </w:p>
        </w:tc>
        <w:tc>
          <w:tcPr>
            <w:tcW w:w="765" w:type="dxa"/>
          </w:tcPr>
          <w:p w:rsidR="007A0FE6" w:rsidRDefault="007A0FE6">
            <w:pPr>
              <w:pStyle w:val="TableParagraph"/>
              <w:rPr>
                <w:sz w:val="20"/>
              </w:rPr>
            </w:pPr>
          </w:p>
        </w:tc>
        <w:tc>
          <w:tcPr>
            <w:tcW w:w="586" w:type="dxa"/>
          </w:tcPr>
          <w:p w:rsidR="007A0FE6" w:rsidRDefault="007A0FE6">
            <w:pPr>
              <w:pStyle w:val="TableParagraph"/>
              <w:rPr>
                <w:sz w:val="20"/>
              </w:rPr>
            </w:pPr>
          </w:p>
        </w:tc>
        <w:tc>
          <w:tcPr>
            <w:tcW w:w="1707" w:type="dxa"/>
          </w:tcPr>
          <w:p w:rsidR="007A0FE6" w:rsidRDefault="007A0FE6">
            <w:pPr>
              <w:pStyle w:val="TableParagraph"/>
              <w:rPr>
                <w:sz w:val="20"/>
              </w:rPr>
            </w:pPr>
          </w:p>
        </w:tc>
      </w:tr>
      <w:tr w:rsidR="007A0FE6">
        <w:trPr>
          <w:trHeight w:val="235"/>
        </w:trPr>
        <w:tc>
          <w:tcPr>
            <w:tcW w:w="2156" w:type="dxa"/>
          </w:tcPr>
          <w:p w:rsidR="007A0FE6" w:rsidRDefault="005C2DF8">
            <w:pPr>
              <w:pStyle w:val="TableParagraph"/>
              <w:spacing w:line="205" w:lineRule="exact"/>
              <w:ind w:left="720" w:right="699"/>
              <w:jc w:val="center"/>
              <w:rPr>
                <w:sz w:val="20"/>
              </w:rPr>
            </w:pPr>
            <w:r>
              <w:rPr>
                <w:sz w:val="20"/>
              </w:rPr>
              <w:t>Pre-Test</w:t>
            </w:r>
          </w:p>
        </w:tc>
        <w:tc>
          <w:tcPr>
            <w:tcW w:w="383" w:type="dxa"/>
          </w:tcPr>
          <w:p w:rsidR="007A0FE6" w:rsidRDefault="005C2DF8">
            <w:pPr>
              <w:pStyle w:val="TableParagraph"/>
              <w:spacing w:line="205" w:lineRule="exact"/>
              <w:ind w:left="32"/>
              <w:rPr>
                <w:sz w:val="20"/>
              </w:rPr>
            </w:pPr>
            <w:r>
              <w:rPr>
                <w:sz w:val="20"/>
              </w:rPr>
              <w:t>26</w:t>
            </w:r>
          </w:p>
        </w:tc>
        <w:tc>
          <w:tcPr>
            <w:tcW w:w="800" w:type="dxa"/>
          </w:tcPr>
          <w:p w:rsidR="007A0FE6" w:rsidRDefault="005C2DF8">
            <w:pPr>
              <w:pStyle w:val="TableParagraph"/>
              <w:spacing w:line="205" w:lineRule="exact"/>
              <w:ind w:left="129" w:right="80"/>
              <w:jc w:val="center"/>
              <w:rPr>
                <w:sz w:val="20"/>
              </w:rPr>
            </w:pPr>
            <w:r>
              <w:rPr>
                <w:sz w:val="20"/>
              </w:rPr>
              <w:t>3.0962</w:t>
            </w:r>
          </w:p>
        </w:tc>
        <w:tc>
          <w:tcPr>
            <w:tcW w:w="880" w:type="dxa"/>
          </w:tcPr>
          <w:p w:rsidR="007A0FE6" w:rsidRDefault="005C2DF8">
            <w:pPr>
              <w:pStyle w:val="TableParagraph"/>
              <w:spacing w:line="205" w:lineRule="exact"/>
              <w:ind w:left="80" w:right="110"/>
              <w:jc w:val="center"/>
              <w:rPr>
                <w:sz w:val="20"/>
              </w:rPr>
            </w:pPr>
            <w:r>
              <w:rPr>
                <w:sz w:val="20"/>
              </w:rPr>
              <w:t>0.89464</w:t>
            </w:r>
          </w:p>
        </w:tc>
        <w:tc>
          <w:tcPr>
            <w:tcW w:w="1426" w:type="dxa"/>
          </w:tcPr>
          <w:p w:rsidR="007A0FE6" w:rsidRDefault="005C2DF8">
            <w:pPr>
              <w:pStyle w:val="TableParagraph"/>
              <w:spacing w:line="205" w:lineRule="exact"/>
              <w:ind w:left="84" w:right="31"/>
              <w:jc w:val="center"/>
              <w:rPr>
                <w:sz w:val="20"/>
              </w:rPr>
            </w:pPr>
            <w:r>
              <w:rPr>
                <w:sz w:val="20"/>
              </w:rPr>
              <w:t>0.17545</w:t>
            </w:r>
          </w:p>
        </w:tc>
        <w:tc>
          <w:tcPr>
            <w:tcW w:w="765" w:type="dxa"/>
          </w:tcPr>
          <w:p w:rsidR="007A0FE6" w:rsidRDefault="005C2DF8">
            <w:pPr>
              <w:pStyle w:val="TableParagraph"/>
              <w:spacing w:line="205" w:lineRule="exact"/>
              <w:ind w:left="28" w:right="179"/>
              <w:jc w:val="center"/>
              <w:rPr>
                <w:sz w:val="20"/>
              </w:rPr>
            </w:pPr>
            <w:r>
              <w:rPr>
                <w:sz w:val="20"/>
              </w:rPr>
              <w:t>-2.601</w:t>
            </w:r>
          </w:p>
        </w:tc>
        <w:tc>
          <w:tcPr>
            <w:tcW w:w="586" w:type="dxa"/>
          </w:tcPr>
          <w:p w:rsidR="007A0FE6" w:rsidRDefault="005C2DF8">
            <w:pPr>
              <w:pStyle w:val="TableParagraph"/>
              <w:spacing w:line="205" w:lineRule="exact"/>
              <w:ind w:left="145"/>
              <w:rPr>
                <w:sz w:val="20"/>
              </w:rPr>
            </w:pPr>
            <w:r>
              <w:rPr>
                <w:sz w:val="20"/>
              </w:rPr>
              <w:t>25</w:t>
            </w:r>
          </w:p>
        </w:tc>
        <w:tc>
          <w:tcPr>
            <w:tcW w:w="1707" w:type="dxa"/>
          </w:tcPr>
          <w:p w:rsidR="007A0FE6" w:rsidRDefault="005C2DF8">
            <w:pPr>
              <w:pStyle w:val="TableParagraph"/>
              <w:spacing w:line="205" w:lineRule="exact"/>
              <w:ind w:left="557"/>
              <w:rPr>
                <w:sz w:val="20"/>
              </w:rPr>
            </w:pPr>
            <w:r>
              <w:rPr>
                <w:sz w:val="20"/>
              </w:rPr>
              <w:t>0.015</w:t>
            </w:r>
          </w:p>
        </w:tc>
      </w:tr>
      <w:tr w:rsidR="007A0FE6">
        <w:trPr>
          <w:trHeight w:val="225"/>
        </w:trPr>
        <w:tc>
          <w:tcPr>
            <w:tcW w:w="2156" w:type="dxa"/>
          </w:tcPr>
          <w:p w:rsidR="007A0FE6" w:rsidRDefault="005C2DF8">
            <w:pPr>
              <w:pStyle w:val="TableParagraph"/>
              <w:spacing w:line="205" w:lineRule="exact"/>
              <w:ind w:left="748"/>
              <w:rPr>
                <w:sz w:val="20"/>
              </w:rPr>
            </w:pPr>
            <w:r>
              <w:rPr>
                <w:sz w:val="20"/>
              </w:rPr>
              <w:t>Post-Test</w:t>
            </w:r>
          </w:p>
        </w:tc>
        <w:tc>
          <w:tcPr>
            <w:tcW w:w="383" w:type="dxa"/>
          </w:tcPr>
          <w:p w:rsidR="007A0FE6" w:rsidRDefault="005C2DF8">
            <w:pPr>
              <w:pStyle w:val="TableParagraph"/>
              <w:spacing w:line="205" w:lineRule="exact"/>
              <w:ind w:left="32"/>
              <w:rPr>
                <w:sz w:val="20"/>
              </w:rPr>
            </w:pPr>
            <w:r>
              <w:rPr>
                <w:sz w:val="20"/>
              </w:rPr>
              <w:t>26</w:t>
            </w:r>
          </w:p>
        </w:tc>
        <w:tc>
          <w:tcPr>
            <w:tcW w:w="800" w:type="dxa"/>
          </w:tcPr>
          <w:p w:rsidR="007A0FE6" w:rsidRDefault="005C2DF8">
            <w:pPr>
              <w:pStyle w:val="TableParagraph"/>
              <w:spacing w:line="205" w:lineRule="exact"/>
              <w:ind w:left="129" w:right="80"/>
              <w:jc w:val="center"/>
              <w:rPr>
                <w:sz w:val="20"/>
              </w:rPr>
            </w:pPr>
            <w:r>
              <w:rPr>
                <w:sz w:val="20"/>
              </w:rPr>
              <w:t>3.3269</w:t>
            </w:r>
          </w:p>
        </w:tc>
        <w:tc>
          <w:tcPr>
            <w:tcW w:w="880" w:type="dxa"/>
          </w:tcPr>
          <w:p w:rsidR="007A0FE6" w:rsidRDefault="005C2DF8">
            <w:pPr>
              <w:pStyle w:val="TableParagraph"/>
              <w:spacing w:line="205" w:lineRule="exact"/>
              <w:ind w:left="80" w:right="110"/>
              <w:jc w:val="center"/>
              <w:rPr>
                <w:sz w:val="20"/>
              </w:rPr>
            </w:pPr>
            <w:r>
              <w:rPr>
                <w:sz w:val="20"/>
              </w:rPr>
              <w:t>1.20783</w:t>
            </w:r>
          </w:p>
        </w:tc>
        <w:tc>
          <w:tcPr>
            <w:tcW w:w="1426" w:type="dxa"/>
          </w:tcPr>
          <w:p w:rsidR="007A0FE6" w:rsidRDefault="005C2DF8">
            <w:pPr>
              <w:pStyle w:val="TableParagraph"/>
              <w:spacing w:line="205" w:lineRule="exact"/>
              <w:ind w:left="84" w:right="31"/>
              <w:jc w:val="center"/>
              <w:rPr>
                <w:sz w:val="20"/>
              </w:rPr>
            </w:pPr>
            <w:r>
              <w:rPr>
                <w:sz w:val="20"/>
              </w:rPr>
              <w:t>0.23687</w:t>
            </w:r>
          </w:p>
        </w:tc>
        <w:tc>
          <w:tcPr>
            <w:tcW w:w="765" w:type="dxa"/>
          </w:tcPr>
          <w:p w:rsidR="007A0FE6" w:rsidRDefault="007A0FE6">
            <w:pPr>
              <w:pStyle w:val="TableParagraph"/>
              <w:rPr>
                <w:sz w:val="16"/>
              </w:rPr>
            </w:pPr>
          </w:p>
        </w:tc>
        <w:tc>
          <w:tcPr>
            <w:tcW w:w="586" w:type="dxa"/>
          </w:tcPr>
          <w:p w:rsidR="007A0FE6" w:rsidRDefault="007A0FE6">
            <w:pPr>
              <w:pStyle w:val="TableParagraph"/>
              <w:rPr>
                <w:sz w:val="16"/>
              </w:rPr>
            </w:pPr>
          </w:p>
        </w:tc>
        <w:tc>
          <w:tcPr>
            <w:tcW w:w="1707" w:type="dxa"/>
          </w:tcPr>
          <w:p w:rsidR="007A0FE6" w:rsidRDefault="007A0FE6">
            <w:pPr>
              <w:pStyle w:val="TableParagraph"/>
              <w:rPr>
                <w:sz w:val="16"/>
              </w:rPr>
            </w:pPr>
          </w:p>
        </w:tc>
      </w:tr>
      <w:tr w:rsidR="007A0FE6">
        <w:trPr>
          <w:trHeight w:val="458"/>
        </w:trPr>
        <w:tc>
          <w:tcPr>
            <w:tcW w:w="2156" w:type="dxa"/>
          </w:tcPr>
          <w:p w:rsidR="007A0FE6" w:rsidRDefault="007A0FE6">
            <w:pPr>
              <w:pStyle w:val="TableParagraph"/>
              <w:spacing w:before="10"/>
              <w:rPr>
                <w:sz w:val="19"/>
              </w:rPr>
            </w:pPr>
          </w:p>
          <w:p w:rsidR="007A0FE6" w:rsidRDefault="005C2DF8">
            <w:pPr>
              <w:pStyle w:val="TableParagraph"/>
              <w:spacing w:line="210" w:lineRule="exact"/>
              <w:ind w:left="28"/>
              <w:rPr>
                <w:b/>
                <w:sz w:val="20"/>
              </w:rPr>
            </w:pPr>
            <w:r>
              <w:rPr>
                <w:b/>
                <w:sz w:val="20"/>
              </w:rPr>
              <w:t>Speaking</w:t>
            </w:r>
          </w:p>
        </w:tc>
        <w:tc>
          <w:tcPr>
            <w:tcW w:w="383" w:type="dxa"/>
          </w:tcPr>
          <w:p w:rsidR="007A0FE6" w:rsidRDefault="007A0FE6">
            <w:pPr>
              <w:pStyle w:val="TableParagraph"/>
              <w:rPr>
                <w:sz w:val="20"/>
              </w:rPr>
            </w:pPr>
          </w:p>
        </w:tc>
        <w:tc>
          <w:tcPr>
            <w:tcW w:w="800" w:type="dxa"/>
          </w:tcPr>
          <w:p w:rsidR="007A0FE6" w:rsidRDefault="007A0FE6">
            <w:pPr>
              <w:pStyle w:val="TableParagraph"/>
              <w:rPr>
                <w:sz w:val="20"/>
              </w:rPr>
            </w:pPr>
          </w:p>
        </w:tc>
        <w:tc>
          <w:tcPr>
            <w:tcW w:w="880" w:type="dxa"/>
          </w:tcPr>
          <w:p w:rsidR="007A0FE6" w:rsidRDefault="007A0FE6">
            <w:pPr>
              <w:pStyle w:val="TableParagraph"/>
              <w:rPr>
                <w:sz w:val="20"/>
              </w:rPr>
            </w:pPr>
          </w:p>
        </w:tc>
        <w:tc>
          <w:tcPr>
            <w:tcW w:w="1426" w:type="dxa"/>
          </w:tcPr>
          <w:p w:rsidR="007A0FE6" w:rsidRDefault="007A0FE6">
            <w:pPr>
              <w:pStyle w:val="TableParagraph"/>
              <w:rPr>
                <w:sz w:val="20"/>
              </w:rPr>
            </w:pPr>
          </w:p>
        </w:tc>
        <w:tc>
          <w:tcPr>
            <w:tcW w:w="765" w:type="dxa"/>
          </w:tcPr>
          <w:p w:rsidR="007A0FE6" w:rsidRDefault="007A0FE6">
            <w:pPr>
              <w:pStyle w:val="TableParagraph"/>
              <w:rPr>
                <w:sz w:val="20"/>
              </w:rPr>
            </w:pPr>
          </w:p>
        </w:tc>
        <w:tc>
          <w:tcPr>
            <w:tcW w:w="586" w:type="dxa"/>
          </w:tcPr>
          <w:p w:rsidR="007A0FE6" w:rsidRDefault="007A0FE6">
            <w:pPr>
              <w:pStyle w:val="TableParagraph"/>
              <w:rPr>
                <w:sz w:val="20"/>
              </w:rPr>
            </w:pPr>
          </w:p>
        </w:tc>
        <w:tc>
          <w:tcPr>
            <w:tcW w:w="1707" w:type="dxa"/>
          </w:tcPr>
          <w:p w:rsidR="007A0FE6" w:rsidRDefault="007A0FE6">
            <w:pPr>
              <w:pStyle w:val="TableParagraph"/>
              <w:rPr>
                <w:sz w:val="20"/>
              </w:rPr>
            </w:pPr>
          </w:p>
        </w:tc>
      </w:tr>
      <w:tr w:rsidR="007A0FE6">
        <w:trPr>
          <w:trHeight w:val="235"/>
        </w:trPr>
        <w:tc>
          <w:tcPr>
            <w:tcW w:w="2156" w:type="dxa"/>
          </w:tcPr>
          <w:p w:rsidR="007A0FE6" w:rsidRDefault="005C2DF8">
            <w:pPr>
              <w:pStyle w:val="TableParagraph"/>
              <w:spacing w:line="205" w:lineRule="exact"/>
              <w:ind w:left="720" w:right="699"/>
              <w:jc w:val="center"/>
              <w:rPr>
                <w:sz w:val="20"/>
              </w:rPr>
            </w:pPr>
            <w:r>
              <w:rPr>
                <w:sz w:val="20"/>
              </w:rPr>
              <w:t>Pre-Test</w:t>
            </w:r>
          </w:p>
        </w:tc>
        <w:tc>
          <w:tcPr>
            <w:tcW w:w="383" w:type="dxa"/>
          </w:tcPr>
          <w:p w:rsidR="007A0FE6" w:rsidRDefault="005C2DF8">
            <w:pPr>
              <w:pStyle w:val="TableParagraph"/>
              <w:spacing w:line="205" w:lineRule="exact"/>
              <w:ind w:left="32"/>
              <w:rPr>
                <w:sz w:val="20"/>
              </w:rPr>
            </w:pPr>
            <w:r>
              <w:rPr>
                <w:sz w:val="20"/>
              </w:rPr>
              <w:t>26</w:t>
            </w:r>
          </w:p>
        </w:tc>
        <w:tc>
          <w:tcPr>
            <w:tcW w:w="800" w:type="dxa"/>
          </w:tcPr>
          <w:p w:rsidR="007A0FE6" w:rsidRDefault="005C2DF8">
            <w:pPr>
              <w:pStyle w:val="TableParagraph"/>
              <w:spacing w:line="205" w:lineRule="exact"/>
              <w:ind w:left="129" w:right="80"/>
              <w:jc w:val="center"/>
              <w:rPr>
                <w:sz w:val="20"/>
              </w:rPr>
            </w:pPr>
            <w:r>
              <w:rPr>
                <w:sz w:val="20"/>
              </w:rPr>
              <w:t>2.4615</w:t>
            </w:r>
          </w:p>
        </w:tc>
        <w:tc>
          <w:tcPr>
            <w:tcW w:w="880" w:type="dxa"/>
          </w:tcPr>
          <w:p w:rsidR="007A0FE6" w:rsidRDefault="005C2DF8">
            <w:pPr>
              <w:pStyle w:val="TableParagraph"/>
              <w:spacing w:line="205" w:lineRule="exact"/>
              <w:ind w:left="80" w:right="110"/>
              <w:jc w:val="center"/>
              <w:rPr>
                <w:sz w:val="20"/>
              </w:rPr>
            </w:pPr>
            <w:r>
              <w:rPr>
                <w:sz w:val="20"/>
              </w:rPr>
              <w:t>0.97901</w:t>
            </w:r>
          </w:p>
        </w:tc>
        <w:tc>
          <w:tcPr>
            <w:tcW w:w="1426" w:type="dxa"/>
          </w:tcPr>
          <w:p w:rsidR="007A0FE6" w:rsidRDefault="005C2DF8">
            <w:pPr>
              <w:pStyle w:val="TableParagraph"/>
              <w:spacing w:line="205" w:lineRule="exact"/>
              <w:ind w:left="84" w:right="31"/>
              <w:jc w:val="center"/>
              <w:rPr>
                <w:sz w:val="20"/>
              </w:rPr>
            </w:pPr>
            <w:r>
              <w:rPr>
                <w:sz w:val="20"/>
              </w:rPr>
              <w:t>0.19200</w:t>
            </w:r>
          </w:p>
        </w:tc>
        <w:tc>
          <w:tcPr>
            <w:tcW w:w="765" w:type="dxa"/>
          </w:tcPr>
          <w:p w:rsidR="007A0FE6" w:rsidRDefault="005C2DF8">
            <w:pPr>
              <w:pStyle w:val="TableParagraph"/>
              <w:spacing w:line="205" w:lineRule="exact"/>
              <w:ind w:left="27" w:right="80"/>
              <w:jc w:val="center"/>
              <w:rPr>
                <w:sz w:val="20"/>
              </w:rPr>
            </w:pPr>
            <w:r>
              <w:rPr>
                <w:sz w:val="20"/>
              </w:rPr>
              <w:t>-0.811</w:t>
            </w:r>
          </w:p>
        </w:tc>
        <w:tc>
          <w:tcPr>
            <w:tcW w:w="586" w:type="dxa"/>
          </w:tcPr>
          <w:p w:rsidR="007A0FE6" w:rsidRDefault="005C2DF8">
            <w:pPr>
              <w:pStyle w:val="TableParagraph"/>
              <w:spacing w:line="205" w:lineRule="exact"/>
              <w:ind w:left="145"/>
              <w:rPr>
                <w:sz w:val="20"/>
              </w:rPr>
            </w:pPr>
            <w:r>
              <w:rPr>
                <w:sz w:val="20"/>
              </w:rPr>
              <w:t>25</w:t>
            </w:r>
          </w:p>
        </w:tc>
        <w:tc>
          <w:tcPr>
            <w:tcW w:w="1707" w:type="dxa"/>
          </w:tcPr>
          <w:p w:rsidR="007A0FE6" w:rsidRDefault="005C2DF8">
            <w:pPr>
              <w:pStyle w:val="TableParagraph"/>
              <w:spacing w:line="205" w:lineRule="exact"/>
              <w:ind w:left="557"/>
              <w:rPr>
                <w:sz w:val="20"/>
              </w:rPr>
            </w:pPr>
            <w:r>
              <w:rPr>
                <w:sz w:val="20"/>
              </w:rPr>
              <w:t>0.425</w:t>
            </w:r>
          </w:p>
        </w:tc>
      </w:tr>
      <w:tr w:rsidR="007A0FE6">
        <w:trPr>
          <w:trHeight w:val="455"/>
        </w:trPr>
        <w:tc>
          <w:tcPr>
            <w:tcW w:w="2156" w:type="dxa"/>
            <w:tcBorders>
              <w:bottom w:val="single" w:sz="12" w:space="0" w:color="000000"/>
            </w:tcBorders>
          </w:tcPr>
          <w:p w:rsidR="007A0FE6" w:rsidRDefault="005C2DF8">
            <w:pPr>
              <w:pStyle w:val="TableParagraph"/>
              <w:spacing w:line="226" w:lineRule="exact"/>
              <w:ind w:left="748"/>
              <w:rPr>
                <w:sz w:val="20"/>
              </w:rPr>
            </w:pPr>
            <w:r>
              <w:rPr>
                <w:sz w:val="20"/>
              </w:rPr>
              <w:t>Post-Test</w:t>
            </w:r>
          </w:p>
        </w:tc>
        <w:tc>
          <w:tcPr>
            <w:tcW w:w="383" w:type="dxa"/>
            <w:tcBorders>
              <w:bottom w:val="single" w:sz="12" w:space="0" w:color="000000"/>
            </w:tcBorders>
          </w:tcPr>
          <w:p w:rsidR="007A0FE6" w:rsidRDefault="005C2DF8">
            <w:pPr>
              <w:pStyle w:val="TableParagraph"/>
              <w:spacing w:line="226" w:lineRule="exact"/>
              <w:ind w:left="32"/>
              <w:rPr>
                <w:sz w:val="20"/>
              </w:rPr>
            </w:pPr>
            <w:r>
              <w:rPr>
                <w:sz w:val="20"/>
              </w:rPr>
              <w:t>26</w:t>
            </w:r>
          </w:p>
        </w:tc>
        <w:tc>
          <w:tcPr>
            <w:tcW w:w="800" w:type="dxa"/>
            <w:tcBorders>
              <w:bottom w:val="single" w:sz="12" w:space="0" w:color="000000"/>
            </w:tcBorders>
          </w:tcPr>
          <w:p w:rsidR="007A0FE6" w:rsidRDefault="005C2DF8">
            <w:pPr>
              <w:pStyle w:val="TableParagraph"/>
              <w:spacing w:line="226" w:lineRule="exact"/>
              <w:ind w:left="129" w:right="80"/>
              <w:jc w:val="center"/>
              <w:rPr>
                <w:sz w:val="20"/>
              </w:rPr>
            </w:pPr>
            <w:r>
              <w:rPr>
                <w:sz w:val="20"/>
              </w:rPr>
              <w:t>2.5000</w:t>
            </w:r>
          </w:p>
        </w:tc>
        <w:tc>
          <w:tcPr>
            <w:tcW w:w="880" w:type="dxa"/>
            <w:tcBorders>
              <w:bottom w:val="single" w:sz="12" w:space="0" w:color="000000"/>
            </w:tcBorders>
          </w:tcPr>
          <w:p w:rsidR="007A0FE6" w:rsidRDefault="005C2DF8">
            <w:pPr>
              <w:pStyle w:val="TableParagraph"/>
              <w:spacing w:line="226" w:lineRule="exact"/>
              <w:ind w:left="80" w:right="110"/>
              <w:jc w:val="center"/>
              <w:rPr>
                <w:sz w:val="20"/>
              </w:rPr>
            </w:pPr>
            <w:r>
              <w:rPr>
                <w:sz w:val="20"/>
              </w:rPr>
              <w:t>1.12250</w:t>
            </w:r>
          </w:p>
        </w:tc>
        <w:tc>
          <w:tcPr>
            <w:tcW w:w="1426" w:type="dxa"/>
            <w:tcBorders>
              <w:bottom w:val="single" w:sz="12" w:space="0" w:color="000000"/>
            </w:tcBorders>
          </w:tcPr>
          <w:p w:rsidR="007A0FE6" w:rsidRDefault="005C2DF8">
            <w:pPr>
              <w:pStyle w:val="TableParagraph"/>
              <w:spacing w:line="226" w:lineRule="exact"/>
              <w:ind w:left="84" w:right="31"/>
              <w:jc w:val="center"/>
              <w:rPr>
                <w:sz w:val="20"/>
              </w:rPr>
            </w:pPr>
            <w:r>
              <w:rPr>
                <w:sz w:val="20"/>
              </w:rPr>
              <w:t>0.22014</w:t>
            </w:r>
          </w:p>
        </w:tc>
        <w:tc>
          <w:tcPr>
            <w:tcW w:w="765" w:type="dxa"/>
            <w:tcBorders>
              <w:bottom w:val="single" w:sz="12" w:space="0" w:color="000000"/>
            </w:tcBorders>
          </w:tcPr>
          <w:p w:rsidR="007A0FE6" w:rsidRDefault="007A0FE6">
            <w:pPr>
              <w:pStyle w:val="TableParagraph"/>
              <w:rPr>
                <w:sz w:val="20"/>
              </w:rPr>
            </w:pPr>
          </w:p>
        </w:tc>
        <w:tc>
          <w:tcPr>
            <w:tcW w:w="586" w:type="dxa"/>
            <w:tcBorders>
              <w:bottom w:val="single" w:sz="12" w:space="0" w:color="000000"/>
            </w:tcBorders>
          </w:tcPr>
          <w:p w:rsidR="007A0FE6" w:rsidRDefault="007A0FE6">
            <w:pPr>
              <w:pStyle w:val="TableParagraph"/>
              <w:rPr>
                <w:sz w:val="20"/>
              </w:rPr>
            </w:pPr>
          </w:p>
        </w:tc>
        <w:tc>
          <w:tcPr>
            <w:tcW w:w="1707" w:type="dxa"/>
            <w:tcBorders>
              <w:bottom w:val="single" w:sz="12" w:space="0" w:color="000000"/>
            </w:tcBorders>
          </w:tcPr>
          <w:p w:rsidR="007A0FE6" w:rsidRDefault="007A0FE6">
            <w:pPr>
              <w:pStyle w:val="TableParagraph"/>
              <w:rPr>
                <w:sz w:val="20"/>
              </w:rPr>
            </w:pPr>
          </w:p>
        </w:tc>
      </w:tr>
      <w:tr w:rsidR="007A0FE6">
        <w:trPr>
          <w:trHeight w:val="528"/>
        </w:trPr>
        <w:tc>
          <w:tcPr>
            <w:tcW w:w="2156" w:type="dxa"/>
            <w:tcBorders>
              <w:top w:val="single" w:sz="12" w:space="0" w:color="000000"/>
            </w:tcBorders>
          </w:tcPr>
          <w:p w:rsidR="007A0FE6" w:rsidRDefault="007A0FE6">
            <w:pPr>
              <w:pStyle w:val="TableParagraph"/>
              <w:spacing w:before="11"/>
              <w:rPr>
                <w:sz w:val="21"/>
              </w:rPr>
            </w:pPr>
          </w:p>
          <w:p w:rsidR="007A0FE6" w:rsidRDefault="005C2DF8">
            <w:pPr>
              <w:pStyle w:val="TableParagraph"/>
              <w:spacing w:line="256" w:lineRule="exact"/>
              <w:ind w:left="28"/>
              <w:rPr>
                <w:b/>
                <w:i/>
                <w:sz w:val="24"/>
              </w:rPr>
            </w:pPr>
            <w:r>
              <w:rPr>
                <w:b/>
                <w:i/>
                <w:sz w:val="24"/>
              </w:rPr>
              <w:t>Research questions 2</w:t>
            </w:r>
          </w:p>
        </w:tc>
        <w:tc>
          <w:tcPr>
            <w:tcW w:w="383" w:type="dxa"/>
            <w:tcBorders>
              <w:top w:val="single" w:sz="12" w:space="0" w:color="000000"/>
            </w:tcBorders>
          </w:tcPr>
          <w:p w:rsidR="007A0FE6" w:rsidRDefault="007A0FE6">
            <w:pPr>
              <w:pStyle w:val="TableParagraph"/>
              <w:rPr>
                <w:sz w:val="20"/>
              </w:rPr>
            </w:pPr>
          </w:p>
        </w:tc>
        <w:tc>
          <w:tcPr>
            <w:tcW w:w="800" w:type="dxa"/>
            <w:tcBorders>
              <w:top w:val="single" w:sz="12" w:space="0" w:color="000000"/>
            </w:tcBorders>
          </w:tcPr>
          <w:p w:rsidR="007A0FE6" w:rsidRDefault="007A0FE6">
            <w:pPr>
              <w:pStyle w:val="TableParagraph"/>
              <w:rPr>
                <w:sz w:val="20"/>
              </w:rPr>
            </w:pPr>
          </w:p>
        </w:tc>
        <w:tc>
          <w:tcPr>
            <w:tcW w:w="880" w:type="dxa"/>
            <w:tcBorders>
              <w:top w:val="single" w:sz="12" w:space="0" w:color="000000"/>
            </w:tcBorders>
          </w:tcPr>
          <w:p w:rsidR="007A0FE6" w:rsidRDefault="007A0FE6">
            <w:pPr>
              <w:pStyle w:val="TableParagraph"/>
              <w:rPr>
                <w:sz w:val="20"/>
              </w:rPr>
            </w:pPr>
          </w:p>
        </w:tc>
        <w:tc>
          <w:tcPr>
            <w:tcW w:w="1426" w:type="dxa"/>
            <w:tcBorders>
              <w:top w:val="single" w:sz="12" w:space="0" w:color="000000"/>
            </w:tcBorders>
          </w:tcPr>
          <w:p w:rsidR="007A0FE6" w:rsidRDefault="007A0FE6">
            <w:pPr>
              <w:pStyle w:val="TableParagraph"/>
              <w:rPr>
                <w:sz w:val="20"/>
              </w:rPr>
            </w:pPr>
          </w:p>
        </w:tc>
        <w:tc>
          <w:tcPr>
            <w:tcW w:w="765" w:type="dxa"/>
            <w:tcBorders>
              <w:top w:val="single" w:sz="12" w:space="0" w:color="000000"/>
            </w:tcBorders>
          </w:tcPr>
          <w:p w:rsidR="007A0FE6" w:rsidRDefault="007A0FE6">
            <w:pPr>
              <w:pStyle w:val="TableParagraph"/>
              <w:rPr>
                <w:sz w:val="20"/>
              </w:rPr>
            </w:pPr>
          </w:p>
        </w:tc>
        <w:tc>
          <w:tcPr>
            <w:tcW w:w="586" w:type="dxa"/>
            <w:tcBorders>
              <w:top w:val="single" w:sz="12" w:space="0" w:color="000000"/>
            </w:tcBorders>
          </w:tcPr>
          <w:p w:rsidR="007A0FE6" w:rsidRDefault="007A0FE6">
            <w:pPr>
              <w:pStyle w:val="TableParagraph"/>
              <w:rPr>
                <w:sz w:val="20"/>
              </w:rPr>
            </w:pPr>
          </w:p>
        </w:tc>
        <w:tc>
          <w:tcPr>
            <w:tcW w:w="1707" w:type="dxa"/>
            <w:tcBorders>
              <w:top w:val="single" w:sz="12" w:space="0" w:color="000000"/>
            </w:tcBorders>
          </w:tcPr>
          <w:p w:rsidR="007A0FE6" w:rsidRDefault="007A0FE6">
            <w:pPr>
              <w:pStyle w:val="TableParagraph"/>
              <w:rPr>
                <w:sz w:val="20"/>
              </w:rPr>
            </w:pPr>
          </w:p>
        </w:tc>
      </w:tr>
    </w:tbl>
    <w:p w:rsidR="007A0FE6" w:rsidRDefault="007A0FE6">
      <w:pPr>
        <w:pStyle w:val="BodyText"/>
      </w:pPr>
    </w:p>
    <w:p w:rsidR="007A0FE6" w:rsidRDefault="005C2DF8">
      <w:pPr>
        <w:pStyle w:val="BodyText"/>
        <w:ind w:left="220" w:right="213"/>
        <w:jc w:val="both"/>
      </w:pPr>
      <w:r>
        <w:t>In relation to the second research questions, a Person product-moment correlation coefficient was computed to assess the relationship between pre-test scores, and post-test scores. There was a correlation between pre-test, and post-test scores of the overall language proficiency [</w:t>
      </w:r>
      <w:proofErr w:type="gramStart"/>
      <w:r>
        <w:t>r(</w:t>
      </w:r>
      <w:proofErr w:type="gramEnd"/>
      <w:r>
        <w:t>26)=0.972, p=0.05]. There was a correlation between pre-test, and post-test scores of listening skills [</w:t>
      </w:r>
      <w:proofErr w:type="gramStart"/>
      <w:r>
        <w:t>r(</w:t>
      </w:r>
      <w:proofErr w:type="gramEnd"/>
      <w:r>
        <w:t>26)=0.933, p=0.005]. There was a correlation between pre-test, and post-test scores of reading skills [</w:t>
      </w:r>
      <w:proofErr w:type="gramStart"/>
      <w:r>
        <w:t>r(</w:t>
      </w:r>
      <w:proofErr w:type="gramEnd"/>
      <w:r>
        <w:t>26)=0.960, p=0.005]. There was a correlation between pre-test, and post-test scores of writing skills [</w:t>
      </w:r>
      <w:proofErr w:type="gramStart"/>
      <w:r>
        <w:t>r(</w:t>
      </w:r>
      <w:proofErr w:type="gramEnd"/>
      <w:r>
        <w:t>26)=0.951, p=0.015]. There was a correlation between pre-test, and post-test scores of speaking [</w:t>
      </w:r>
      <w:proofErr w:type="gramStart"/>
      <w:r>
        <w:t>r(</w:t>
      </w:r>
      <w:proofErr w:type="gramEnd"/>
      <w:r>
        <w:t xml:space="preserve">26)=0.983, p=0.425]. The Person product-moment correlation coefficient between the </w:t>
      </w:r>
      <w:proofErr w:type="gramStart"/>
      <w:r>
        <w:t>pre-test,</w:t>
      </w:r>
      <w:proofErr w:type="gramEnd"/>
      <w:r>
        <w:t xml:space="preserve"> and post-test scores of speaking skills was the highest among four language skills.</w:t>
      </w:r>
    </w:p>
    <w:p w:rsidR="007A0FE6" w:rsidRDefault="005C2DF8">
      <w:pPr>
        <w:spacing w:after="17"/>
        <w:ind w:left="220" w:right="222"/>
        <w:jc w:val="both"/>
        <w:rPr>
          <w:sz w:val="20"/>
        </w:rPr>
      </w:pPr>
      <w:proofErr w:type="gramStart"/>
      <w:r>
        <w:rPr>
          <w:sz w:val="20"/>
        </w:rPr>
        <w:t>Table 4.</w:t>
      </w:r>
      <w:proofErr w:type="gramEnd"/>
      <w:r>
        <w:rPr>
          <w:sz w:val="20"/>
        </w:rPr>
        <w:t xml:space="preserve"> Paired samples correlations of IELTS pre-test and post-test for listening, reading speaking and writing components</w:t>
      </w:r>
    </w:p>
    <w:tbl>
      <w:tblPr>
        <w:tblW w:w="0" w:type="auto"/>
        <w:tblInd w:w="199" w:type="dxa"/>
        <w:tblLayout w:type="fixed"/>
        <w:tblCellMar>
          <w:left w:w="0" w:type="dxa"/>
          <w:right w:w="0" w:type="dxa"/>
        </w:tblCellMar>
        <w:tblLook w:val="01E0"/>
      </w:tblPr>
      <w:tblGrid>
        <w:gridCol w:w="2009"/>
        <w:gridCol w:w="581"/>
        <w:gridCol w:w="949"/>
        <w:gridCol w:w="959"/>
        <w:gridCol w:w="1616"/>
        <w:gridCol w:w="996"/>
        <w:gridCol w:w="1591"/>
      </w:tblGrid>
      <w:tr w:rsidR="007A0FE6">
        <w:trPr>
          <w:trHeight w:val="270"/>
        </w:trPr>
        <w:tc>
          <w:tcPr>
            <w:tcW w:w="2009" w:type="dxa"/>
            <w:tcBorders>
              <w:top w:val="single" w:sz="12" w:space="0" w:color="000000"/>
              <w:bottom w:val="single" w:sz="12" w:space="0" w:color="000000"/>
            </w:tcBorders>
          </w:tcPr>
          <w:p w:rsidR="007A0FE6" w:rsidRDefault="007A0FE6">
            <w:pPr>
              <w:pStyle w:val="TableParagraph"/>
              <w:rPr>
                <w:sz w:val="20"/>
              </w:rPr>
            </w:pPr>
          </w:p>
        </w:tc>
        <w:tc>
          <w:tcPr>
            <w:tcW w:w="581" w:type="dxa"/>
            <w:tcBorders>
              <w:top w:val="single" w:sz="12" w:space="0" w:color="000000"/>
              <w:bottom w:val="single" w:sz="12" w:space="0" w:color="000000"/>
            </w:tcBorders>
          </w:tcPr>
          <w:p w:rsidR="007A0FE6" w:rsidRDefault="005C2DF8">
            <w:pPr>
              <w:pStyle w:val="TableParagraph"/>
              <w:spacing w:before="19"/>
              <w:ind w:left="23"/>
              <w:jc w:val="center"/>
              <w:rPr>
                <w:sz w:val="20"/>
              </w:rPr>
            </w:pPr>
            <w:r>
              <w:rPr>
                <w:w w:val="99"/>
                <w:sz w:val="20"/>
              </w:rPr>
              <w:t>N</w:t>
            </w:r>
          </w:p>
        </w:tc>
        <w:tc>
          <w:tcPr>
            <w:tcW w:w="949" w:type="dxa"/>
            <w:tcBorders>
              <w:top w:val="single" w:sz="12" w:space="0" w:color="000000"/>
              <w:bottom w:val="single" w:sz="12" w:space="0" w:color="000000"/>
            </w:tcBorders>
          </w:tcPr>
          <w:p w:rsidR="007A0FE6" w:rsidRDefault="005C2DF8">
            <w:pPr>
              <w:pStyle w:val="TableParagraph"/>
              <w:spacing w:before="19"/>
              <w:ind w:left="470"/>
              <w:rPr>
                <w:sz w:val="20"/>
              </w:rPr>
            </w:pPr>
            <w:r>
              <w:rPr>
                <w:w w:val="99"/>
                <w:sz w:val="20"/>
              </w:rPr>
              <w:t>M</w:t>
            </w:r>
          </w:p>
        </w:tc>
        <w:tc>
          <w:tcPr>
            <w:tcW w:w="959" w:type="dxa"/>
            <w:tcBorders>
              <w:top w:val="single" w:sz="12" w:space="0" w:color="000000"/>
              <w:bottom w:val="single" w:sz="12" w:space="0" w:color="000000"/>
            </w:tcBorders>
          </w:tcPr>
          <w:p w:rsidR="007A0FE6" w:rsidRDefault="005C2DF8">
            <w:pPr>
              <w:pStyle w:val="TableParagraph"/>
              <w:spacing w:before="19"/>
              <w:ind w:left="322" w:right="340"/>
              <w:jc w:val="center"/>
              <w:rPr>
                <w:sz w:val="20"/>
              </w:rPr>
            </w:pPr>
            <w:r>
              <w:rPr>
                <w:sz w:val="20"/>
              </w:rPr>
              <w:t>SD</w:t>
            </w:r>
          </w:p>
        </w:tc>
        <w:tc>
          <w:tcPr>
            <w:tcW w:w="1616" w:type="dxa"/>
            <w:tcBorders>
              <w:top w:val="single" w:sz="12" w:space="0" w:color="000000"/>
              <w:bottom w:val="single" w:sz="12" w:space="0" w:color="000000"/>
            </w:tcBorders>
          </w:tcPr>
          <w:p w:rsidR="007A0FE6" w:rsidRDefault="005C2DF8">
            <w:pPr>
              <w:pStyle w:val="TableParagraph"/>
              <w:spacing w:before="19"/>
              <w:ind w:left="83" w:right="248"/>
              <w:jc w:val="center"/>
              <w:rPr>
                <w:sz w:val="20"/>
              </w:rPr>
            </w:pPr>
            <w:r>
              <w:rPr>
                <w:sz w:val="20"/>
              </w:rPr>
              <w:t>Std Error Mean</w:t>
            </w:r>
          </w:p>
        </w:tc>
        <w:tc>
          <w:tcPr>
            <w:tcW w:w="996" w:type="dxa"/>
            <w:tcBorders>
              <w:top w:val="single" w:sz="12" w:space="0" w:color="000000"/>
              <w:bottom w:val="single" w:sz="12" w:space="0" w:color="000000"/>
            </w:tcBorders>
          </w:tcPr>
          <w:p w:rsidR="007A0FE6" w:rsidRDefault="005C2DF8">
            <w:pPr>
              <w:pStyle w:val="TableParagraph"/>
              <w:spacing w:before="19"/>
              <w:ind w:left="63"/>
              <w:jc w:val="center"/>
              <w:rPr>
                <w:sz w:val="20"/>
              </w:rPr>
            </w:pPr>
            <w:r>
              <w:rPr>
                <w:w w:val="99"/>
                <w:sz w:val="20"/>
              </w:rPr>
              <w:t>r</w:t>
            </w:r>
          </w:p>
        </w:tc>
        <w:tc>
          <w:tcPr>
            <w:tcW w:w="1591" w:type="dxa"/>
            <w:tcBorders>
              <w:top w:val="single" w:sz="12" w:space="0" w:color="000000"/>
              <w:bottom w:val="single" w:sz="12" w:space="0" w:color="000000"/>
            </w:tcBorders>
          </w:tcPr>
          <w:p w:rsidR="007A0FE6" w:rsidRDefault="005C2DF8">
            <w:pPr>
              <w:pStyle w:val="TableParagraph"/>
              <w:spacing w:before="19"/>
              <w:ind w:left="250" w:right="290"/>
              <w:jc w:val="center"/>
              <w:rPr>
                <w:sz w:val="20"/>
              </w:rPr>
            </w:pPr>
            <w:r>
              <w:rPr>
                <w:sz w:val="20"/>
              </w:rPr>
              <w:t>Sig(2-tailed)</w:t>
            </w:r>
          </w:p>
        </w:tc>
      </w:tr>
      <w:tr w:rsidR="007A0FE6">
        <w:trPr>
          <w:trHeight w:val="232"/>
        </w:trPr>
        <w:tc>
          <w:tcPr>
            <w:tcW w:w="2009" w:type="dxa"/>
            <w:tcBorders>
              <w:top w:val="single" w:sz="12" w:space="0" w:color="000000"/>
            </w:tcBorders>
          </w:tcPr>
          <w:p w:rsidR="007A0FE6" w:rsidRDefault="005C2DF8">
            <w:pPr>
              <w:pStyle w:val="TableParagraph"/>
              <w:spacing w:line="212" w:lineRule="exact"/>
              <w:ind w:left="28"/>
              <w:rPr>
                <w:b/>
                <w:sz w:val="20"/>
              </w:rPr>
            </w:pPr>
            <w:r>
              <w:rPr>
                <w:b/>
                <w:sz w:val="20"/>
              </w:rPr>
              <w:t>Overall Achievement</w:t>
            </w:r>
          </w:p>
        </w:tc>
        <w:tc>
          <w:tcPr>
            <w:tcW w:w="581" w:type="dxa"/>
            <w:tcBorders>
              <w:top w:val="single" w:sz="12" w:space="0" w:color="000000"/>
            </w:tcBorders>
          </w:tcPr>
          <w:p w:rsidR="007A0FE6" w:rsidRDefault="007A0FE6">
            <w:pPr>
              <w:pStyle w:val="TableParagraph"/>
              <w:rPr>
                <w:sz w:val="16"/>
              </w:rPr>
            </w:pPr>
          </w:p>
        </w:tc>
        <w:tc>
          <w:tcPr>
            <w:tcW w:w="949" w:type="dxa"/>
            <w:tcBorders>
              <w:top w:val="single" w:sz="12" w:space="0" w:color="000000"/>
            </w:tcBorders>
          </w:tcPr>
          <w:p w:rsidR="007A0FE6" w:rsidRDefault="007A0FE6">
            <w:pPr>
              <w:pStyle w:val="TableParagraph"/>
              <w:rPr>
                <w:sz w:val="16"/>
              </w:rPr>
            </w:pPr>
          </w:p>
        </w:tc>
        <w:tc>
          <w:tcPr>
            <w:tcW w:w="959" w:type="dxa"/>
            <w:tcBorders>
              <w:top w:val="single" w:sz="12" w:space="0" w:color="000000"/>
            </w:tcBorders>
          </w:tcPr>
          <w:p w:rsidR="007A0FE6" w:rsidRDefault="007A0FE6">
            <w:pPr>
              <w:pStyle w:val="TableParagraph"/>
              <w:rPr>
                <w:sz w:val="16"/>
              </w:rPr>
            </w:pPr>
          </w:p>
        </w:tc>
        <w:tc>
          <w:tcPr>
            <w:tcW w:w="1616" w:type="dxa"/>
            <w:tcBorders>
              <w:top w:val="single" w:sz="12" w:space="0" w:color="000000"/>
            </w:tcBorders>
          </w:tcPr>
          <w:p w:rsidR="007A0FE6" w:rsidRDefault="007A0FE6">
            <w:pPr>
              <w:pStyle w:val="TableParagraph"/>
              <w:rPr>
                <w:sz w:val="16"/>
              </w:rPr>
            </w:pPr>
          </w:p>
        </w:tc>
        <w:tc>
          <w:tcPr>
            <w:tcW w:w="996" w:type="dxa"/>
            <w:tcBorders>
              <w:top w:val="single" w:sz="12" w:space="0" w:color="000000"/>
            </w:tcBorders>
          </w:tcPr>
          <w:p w:rsidR="007A0FE6" w:rsidRDefault="007A0FE6">
            <w:pPr>
              <w:pStyle w:val="TableParagraph"/>
              <w:rPr>
                <w:sz w:val="16"/>
              </w:rPr>
            </w:pPr>
          </w:p>
        </w:tc>
        <w:tc>
          <w:tcPr>
            <w:tcW w:w="1591" w:type="dxa"/>
            <w:tcBorders>
              <w:top w:val="single" w:sz="12" w:space="0" w:color="000000"/>
            </w:tcBorders>
          </w:tcPr>
          <w:p w:rsidR="007A0FE6" w:rsidRDefault="007A0FE6">
            <w:pPr>
              <w:pStyle w:val="TableParagraph"/>
              <w:rPr>
                <w:sz w:val="16"/>
              </w:rPr>
            </w:pPr>
          </w:p>
        </w:tc>
      </w:tr>
      <w:tr w:rsidR="007A0FE6">
        <w:trPr>
          <w:trHeight w:val="230"/>
        </w:trPr>
        <w:tc>
          <w:tcPr>
            <w:tcW w:w="2009" w:type="dxa"/>
          </w:tcPr>
          <w:p w:rsidR="007A0FE6" w:rsidRDefault="005C2DF8">
            <w:pPr>
              <w:pStyle w:val="TableParagraph"/>
              <w:spacing w:line="211" w:lineRule="exact"/>
              <w:ind w:left="748"/>
              <w:rPr>
                <w:sz w:val="20"/>
              </w:rPr>
            </w:pPr>
            <w:r>
              <w:rPr>
                <w:sz w:val="20"/>
              </w:rPr>
              <w:t>Pre-test</w:t>
            </w:r>
          </w:p>
        </w:tc>
        <w:tc>
          <w:tcPr>
            <w:tcW w:w="581" w:type="dxa"/>
          </w:tcPr>
          <w:p w:rsidR="007A0FE6" w:rsidRDefault="005C2DF8">
            <w:pPr>
              <w:pStyle w:val="TableParagraph"/>
              <w:spacing w:line="211" w:lineRule="exact"/>
              <w:ind w:left="161" w:right="180"/>
              <w:jc w:val="center"/>
              <w:rPr>
                <w:sz w:val="20"/>
              </w:rPr>
            </w:pPr>
            <w:r>
              <w:rPr>
                <w:sz w:val="20"/>
              </w:rPr>
              <w:t>26</w:t>
            </w:r>
          </w:p>
        </w:tc>
        <w:tc>
          <w:tcPr>
            <w:tcW w:w="949" w:type="dxa"/>
          </w:tcPr>
          <w:p w:rsidR="007A0FE6" w:rsidRDefault="005C2DF8">
            <w:pPr>
              <w:pStyle w:val="TableParagraph"/>
              <w:spacing w:line="211" w:lineRule="exact"/>
              <w:ind w:left="199"/>
              <w:rPr>
                <w:sz w:val="20"/>
              </w:rPr>
            </w:pPr>
            <w:r>
              <w:rPr>
                <w:sz w:val="20"/>
              </w:rPr>
              <w:t>2.7692</w:t>
            </w:r>
          </w:p>
        </w:tc>
        <w:tc>
          <w:tcPr>
            <w:tcW w:w="959" w:type="dxa"/>
          </w:tcPr>
          <w:p w:rsidR="007A0FE6" w:rsidRDefault="005C2DF8">
            <w:pPr>
              <w:pStyle w:val="TableParagraph"/>
              <w:spacing w:line="211" w:lineRule="exact"/>
              <w:ind w:left="203"/>
              <w:rPr>
                <w:sz w:val="20"/>
              </w:rPr>
            </w:pPr>
            <w:r>
              <w:rPr>
                <w:sz w:val="20"/>
              </w:rPr>
              <w:t>0.90808</w:t>
            </w:r>
          </w:p>
        </w:tc>
        <w:tc>
          <w:tcPr>
            <w:tcW w:w="1616" w:type="dxa"/>
          </w:tcPr>
          <w:p w:rsidR="007A0FE6" w:rsidRDefault="005C2DF8">
            <w:pPr>
              <w:pStyle w:val="TableParagraph"/>
              <w:spacing w:line="211" w:lineRule="exact"/>
              <w:ind w:left="83" w:right="165"/>
              <w:jc w:val="center"/>
              <w:rPr>
                <w:sz w:val="20"/>
              </w:rPr>
            </w:pPr>
            <w:r>
              <w:rPr>
                <w:sz w:val="20"/>
              </w:rPr>
              <w:t>0.17809</w:t>
            </w:r>
          </w:p>
        </w:tc>
        <w:tc>
          <w:tcPr>
            <w:tcW w:w="996" w:type="dxa"/>
          </w:tcPr>
          <w:p w:rsidR="007A0FE6" w:rsidRDefault="005C2DF8">
            <w:pPr>
              <w:pStyle w:val="TableParagraph"/>
              <w:spacing w:line="211" w:lineRule="exact"/>
              <w:ind w:left="247" w:right="250"/>
              <w:jc w:val="center"/>
              <w:rPr>
                <w:sz w:val="20"/>
              </w:rPr>
            </w:pPr>
            <w:r>
              <w:rPr>
                <w:sz w:val="20"/>
              </w:rPr>
              <w:t>0.972</w:t>
            </w:r>
          </w:p>
        </w:tc>
        <w:tc>
          <w:tcPr>
            <w:tcW w:w="1591" w:type="dxa"/>
          </w:tcPr>
          <w:p w:rsidR="007A0FE6" w:rsidRDefault="005C2DF8">
            <w:pPr>
              <w:pStyle w:val="TableParagraph"/>
              <w:spacing w:line="211" w:lineRule="exact"/>
              <w:ind w:left="250" w:right="247"/>
              <w:jc w:val="center"/>
              <w:rPr>
                <w:sz w:val="20"/>
              </w:rPr>
            </w:pPr>
            <w:r>
              <w:rPr>
                <w:sz w:val="20"/>
              </w:rPr>
              <w:t>0.000</w:t>
            </w:r>
          </w:p>
        </w:tc>
      </w:tr>
      <w:tr w:rsidR="007A0FE6">
        <w:trPr>
          <w:trHeight w:val="225"/>
        </w:trPr>
        <w:tc>
          <w:tcPr>
            <w:tcW w:w="2009" w:type="dxa"/>
          </w:tcPr>
          <w:p w:rsidR="007A0FE6" w:rsidRDefault="005C2DF8">
            <w:pPr>
              <w:pStyle w:val="TableParagraph"/>
              <w:spacing w:line="205" w:lineRule="exact"/>
              <w:ind w:left="748"/>
              <w:rPr>
                <w:sz w:val="20"/>
              </w:rPr>
            </w:pPr>
            <w:r>
              <w:rPr>
                <w:sz w:val="20"/>
              </w:rPr>
              <w:t>Post-test</w:t>
            </w:r>
          </w:p>
        </w:tc>
        <w:tc>
          <w:tcPr>
            <w:tcW w:w="581" w:type="dxa"/>
          </w:tcPr>
          <w:p w:rsidR="007A0FE6" w:rsidRDefault="005C2DF8">
            <w:pPr>
              <w:pStyle w:val="TableParagraph"/>
              <w:spacing w:line="205" w:lineRule="exact"/>
              <w:ind w:left="161" w:right="180"/>
              <w:jc w:val="center"/>
              <w:rPr>
                <w:sz w:val="20"/>
              </w:rPr>
            </w:pPr>
            <w:r>
              <w:rPr>
                <w:sz w:val="20"/>
              </w:rPr>
              <w:t>26</w:t>
            </w:r>
          </w:p>
        </w:tc>
        <w:tc>
          <w:tcPr>
            <w:tcW w:w="949" w:type="dxa"/>
          </w:tcPr>
          <w:p w:rsidR="007A0FE6" w:rsidRDefault="005C2DF8">
            <w:pPr>
              <w:pStyle w:val="TableParagraph"/>
              <w:spacing w:line="205" w:lineRule="exact"/>
              <w:ind w:left="199"/>
              <w:rPr>
                <w:sz w:val="20"/>
              </w:rPr>
            </w:pPr>
            <w:r>
              <w:rPr>
                <w:sz w:val="20"/>
              </w:rPr>
              <w:t>2.9808</w:t>
            </w:r>
          </w:p>
        </w:tc>
        <w:tc>
          <w:tcPr>
            <w:tcW w:w="959" w:type="dxa"/>
          </w:tcPr>
          <w:p w:rsidR="007A0FE6" w:rsidRDefault="005C2DF8">
            <w:pPr>
              <w:pStyle w:val="TableParagraph"/>
              <w:spacing w:line="205" w:lineRule="exact"/>
              <w:ind w:left="198"/>
              <w:rPr>
                <w:sz w:val="20"/>
              </w:rPr>
            </w:pPr>
            <w:r>
              <w:rPr>
                <w:sz w:val="20"/>
              </w:rPr>
              <w:t>1.16173</w:t>
            </w:r>
          </w:p>
        </w:tc>
        <w:tc>
          <w:tcPr>
            <w:tcW w:w="1616" w:type="dxa"/>
          </w:tcPr>
          <w:p w:rsidR="007A0FE6" w:rsidRDefault="005C2DF8">
            <w:pPr>
              <w:pStyle w:val="TableParagraph"/>
              <w:spacing w:line="205" w:lineRule="exact"/>
              <w:ind w:left="83" w:right="175"/>
              <w:jc w:val="center"/>
              <w:rPr>
                <w:sz w:val="20"/>
              </w:rPr>
            </w:pPr>
            <w:r>
              <w:rPr>
                <w:sz w:val="20"/>
              </w:rPr>
              <w:t>0.22783</w:t>
            </w:r>
          </w:p>
        </w:tc>
        <w:tc>
          <w:tcPr>
            <w:tcW w:w="996" w:type="dxa"/>
          </w:tcPr>
          <w:p w:rsidR="007A0FE6" w:rsidRDefault="007A0FE6">
            <w:pPr>
              <w:pStyle w:val="TableParagraph"/>
              <w:rPr>
                <w:sz w:val="16"/>
              </w:rPr>
            </w:pPr>
          </w:p>
        </w:tc>
        <w:tc>
          <w:tcPr>
            <w:tcW w:w="1591" w:type="dxa"/>
          </w:tcPr>
          <w:p w:rsidR="007A0FE6" w:rsidRDefault="007A0FE6">
            <w:pPr>
              <w:pStyle w:val="TableParagraph"/>
              <w:rPr>
                <w:sz w:val="16"/>
              </w:rPr>
            </w:pPr>
          </w:p>
        </w:tc>
      </w:tr>
      <w:tr w:rsidR="007A0FE6">
        <w:trPr>
          <w:trHeight w:val="460"/>
        </w:trPr>
        <w:tc>
          <w:tcPr>
            <w:tcW w:w="2009" w:type="dxa"/>
          </w:tcPr>
          <w:p w:rsidR="007A0FE6" w:rsidRDefault="007A0FE6">
            <w:pPr>
              <w:pStyle w:val="TableParagraph"/>
              <w:spacing w:before="1"/>
              <w:rPr>
                <w:sz w:val="20"/>
              </w:rPr>
            </w:pPr>
          </w:p>
          <w:p w:rsidR="007A0FE6" w:rsidRDefault="005C2DF8">
            <w:pPr>
              <w:pStyle w:val="TableParagraph"/>
              <w:spacing w:line="210" w:lineRule="exact"/>
              <w:ind w:left="28"/>
              <w:rPr>
                <w:b/>
                <w:sz w:val="20"/>
              </w:rPr>
            </w:pPr>
            <w:r>
              <w:rPr>
                <w:b/>
                <w:sz w:val="20"/>
              </w:rPr>
              <w:t>Listening</w:t>
            </w:r>
          </w:p>
        </w:tc>
        <w:tc>
          <w:tcPr>
            <w:tcW w:w="581" w:type="dxa"/>
          </w:tcPr>
          <w:p w:rsidR="007A0FE6" w:rsidRDefault="007A0FE6">
            <w:pPr>
              <w:pStyle w:val="TableParagraph"/>
              <w:rPr>
                <w:sz w:val="20"/>
              </w:rPr>
            </w:pPr>
          </w:p>
        </w:tc>
        <w:tc>
          <w:tcPr>
            <w:tcW w:w="949" w:type="dxa"/>
          </w:tcPr>
          <w:p w:rsidR="007A0FE6" w:rsidRDefault="007A0FE6">
            <w:pPr>
              <w:pStyle w:val="TableParagraph"/>
              <w:rPr>
                <w:sz w:val="20"/>
              </w:rPr>
            </w:pPr>
          </w:p>
        </w:tc>
        <w:tc>
          <w:tcPr>
            <w:tcW w:w="959" w:type="dxa"/>
          </w:tcPr>
          <w:p w:rsidR="007A0FE6" w:rsidRDefault="007A0FE6">
            <w:pPr>
              <w:pStyle w:val="TableParagraph"/>
              <w:rPr>
                <w:sz w:val="20"/>
              </w:rPr>
            </w:pPr>
          </w:p>
        </w:tc>
        <w:tc>
          <w:tcPr>
            <w:tcW w:w="1616" w:type="dxa"/>
          </w:tcPr>
          <w:p w:rsidR="007A0FE6" w:rsidRDefault="007A0FE6">
            <w:pPr>
              <w:pStyle w:val="TableParagraph"/>
              <w:rPr>
                <w:sz w:val="20"/>
              </w:rPr>
            </w:pPr>
          </w:p>
        </w:tc>
        <w:tc>
          <w:tcPr>
            <w:tcW w:w="996" w:type="dxa"/>
          </w:tcPr>
          <w:p w:rsidR="007A0FE6" w:rsidRDefault="007A0FE6">
            <w:pPr>
              <w:pStyle w:val="TableParagraph"/>
              <w:rPr>
                <w:sz w:val="20"/>
              </w:rPr>
            </w:pPr>
          </w:p>
        </w:tc>
        <w:tc>
          <w:tcPr>
            <w:tcW w:w="1591" w:type="dxa"/>
          </w:tcPr>
          <w:p w:rsidR="007A0FE6" w:rsidRDefault="007A0FE6">
            <w:pPr>
              <w:pStyle w:val="TableParagraph"/>
              <w:rPr>
                <w:sz w:val="20"/>
              </w:rPr>
            </w:pPr>
          </w:p>
        </w:tc>
      </w:tr>
      <w:tr w:rsidR="007A0FE6">
        <w:trPr>
          <w:trHeight w:val="234"/>
        </w:trPr>
        <w:tc>
          <w:tcPr>
            <w:tcW w:w="2009" w:type="dxa"/>
          </w:tcPr>
          <w:p w:rsidR="007A0FE6" w:rsidRDefault="005C2DF8">
            <w:pPr>
              <w:pStyle w:val="TableParagraph"/>
              <w:spacing w:line="204" w:lineRule="exact"/>
              <w:ind w:left="748"/>
              <w:rPr>
                <w:sz w:val="20"/>
              </w:rPr>
            </w:pPr>
            <w:r>
              <w:rPr>
                <w:sz w:val="20"/>
              </w:rPr>
              <w:t>Pre-Test</w:t>
            </w:r>
          </w:p>
        </w:tc>
        <w:tc>
          <w:tcPr>
            <w:tcW w:w="581" w:type="dxa"/>
          </w:tcPr>
          <w:p w:rsidR="007A0FE6" w:rsidRDefault="005C2DF8">
            <w:pPr>
              <w:pStyle w:val="TableParagraph"/>
              <w:spacing w:line="204" w:lineRule="exact"/>
              <w:ind w:left="161" w:right="180"/>
              <w:jc w:val="center"/>
              <w:rPr>
                <w:sz w:val="20"/>
              </w:rPr>
            </w:pPr>
            <w:r>
              <w:rPr>
                <w:sz w:val="20"/>
              </w:rPr>
              <w:t>26</w:t>
            </w:r>
          </w:p>
        </w:tc>
        <w:tc>
          <w:tcPr>
            <w:tcW w:w="949" w:type="dxa"/>
          </w:tcPr>
          <w:p w:rsidR="007A0FE6" w:rsidRDefault="005C2DF8">
            <w:pPr>
              <w:pStyle w:val="TableParagraph"/>
              <w:spacing w:line="204" w:lineRule="exact"/>
              <w:ind w:left="249"/>
              <w:rPr>
                <w:sz w:val="20"/>
              </w:rPr>
            </w:pPr>
            <w:r>
              <w:rPr>
                <w:sz w:val="20"/>
              </w:rPr>
              <w:t>1.9038</w:t>
            </w:r>
          </w:p>
        </w:tc>
        <w:tc>
          <w:tcPr>
            <w:tcW w:w="959" w:type="dxa"/>
          </w:tcPr>
          <w:p w:rsidR="007A0FE6" w:rsidRDefault="005C2DF8">
            <w:pPr>
              <w:pStyle w:val="TableParagraph"/>
              <w:spacing w:line="204" w:lineRule="exact"/>
              <w:ind w:left="148"/>
              <w:rPr>
                <w:sz w:val="20"/>
              </w:rPr>
            </w:pPr>
            <w:r>
              <w:rPr>
                <w:sz w:val="20"/>
              </w:rPr>
              <w:t>0.88339</w:t>
            </w:r>
          </w:p>
        </w:tc>
        <w:tc>
          <w:tcPr>
            <w:tcW w:w="1616" w:type="dxa"/>
          </w:tcPr>
          <w:p w:rsidR="007A0FE6" w:rsidRDefault="005C2DF8">
            <w:pPr>
              <w:pStyle w:val="TableParagraph"/>
              <w:spacing w:line="204" w:lineRule="exact"/>
              <w:ind w:left="56" w:right="248"/>
              <w:jc w:val="center"/>
              <w:rPr>
                <w:sz w:val="20"/>
              </w:rPr>
            </w:pPr>
            <w:r>
              <w:rPr>
                <w:sz w:val="20"/>
              </w:rPr>
              <w:t>0.17325</w:t>
            </w:r>
          </w:p>
        </w:tc>
        <w:tc>
          <w:tcPr>
            <w:tcW w:w="996" w:type="dxa"/>
          </w:tcPr>
          <w:p w:rsidR="007A0FE6" w:rsidRDefault="005C2DF8">
            <w:pPr>
              <w:pStyle w:val="TableParagraph"/>
              <w:spacing w:line="204" w:lineRule="exact"/>
              <w:ind w:left="243" w:right="254"/>
              <w:jc w:val="center"/>
              <w:rPr>
                <w:sz w:val="20"/>
              </w:rPr>
            </w:pPr>
            <w:r>
              <w:rPr>
                <w:sz w:val="20"/>
              </w:rPr>
              <w:t>0.933</w:t>
            </w:r>
          </w:p>
        </w:tc>
        <w:tc>
          <w:tcPr>
            <w:tcW w:w="1591" w:type="dxa"/>
          </w:tcPr>
          <w:p w:rsidR="007A0FE6" w:rsidRDefault="005C2DF8">
            <w:pPr>
              <w:pStyle w:val="TableParagraph"/>
              <w:spacing w:line="204" w:lineRule="exact"/>
              <w:ind w:left="250" w:right="253"/>
              <w:jc w:val="center"/>
              <w:rPr>
                <w:sz w:val="20"/>
              </w:rPr>
            </w:pPr>
            <w:r>
              <w:rPr>
                <w:sz w:val="20"/>
              </w:rPr>
              <w:t>0.000</w:t>
            </w:r>
          </w:p>
        </w:tc>
      </w:tr>
      <w:tr w:rsidR="007A0FE6">
        <w:trPr>
          <w:trHeight w:val="224"/>
        </w:trPr>
        <w:tc>
          <w:tcPr>
            <w:tcW w:w="2009" w:type="dxa"/>
          </w:tcPr>
          <w:p w:rsidR="007A0FE6" w:rsidRDefault="005C2DF8">
            <w:pPr>
              <w:pStyle w:val="TableParagraph"/>
              <w:spacing w:line="204" w:lineRule="exact"/>
              <w:ind w:left="799"/>
              <w:rPr>
                <w:sz w:val="20"/>
              </w:rPr>
            </w:pPr>
            <w:r>
              <w:rPr>
                <w:sz w:val="20"/>
              </w:rPr>
              <w:t>Post-Test</w:t>
            </w:r>
          </w:p>
        </w:tc>
        <w:tc>
          <w:tcPr>
            <w:tcW w:w="581" w:type="dxa"/>
          </w:tcPr>
          <w:p w:rsidR="007A0FE6" w:rsidRDefault="005C2DF8">
            <w:pPr>
              <w:pStyle w:val="TableParagraph"/>
              <w:spacing w:line="204" w:lineRule="exact"/>
              <w:ind w:left="161" w:right="180"/>
              <w:jc w:val="center"/>
              <w:rPr>
                <w:sz w:val="20"/>
              </w:rPr>
            </w:pPr>
            <w:r>
              <w:rPr>
                <w:sz w:val="20"/>
              </w:rPr>
              <w:t>26</w:t>
            </w:r>
          </w:p>
        </w:tc>
        <w:tc>
          <w:tcPr>
            <w:tcW w:w="949" w:type="dxa"/>
          </w:tcPr>
          <w:p w:rsidR="007A0FE6" w:rsidRDefault="005C2DF8">
            <w:pPr>
              <w:pStyle w:val="TableParagraph"/>
              <w:spacing w:line="204" w:lineRule="exact"/>
              <w:ind w:left="249"/>
              <w:rPr>
                <w:sz w:val="20"/>
              </w:rPr>
            </w:pPr>
            <w:r>
              <w:rPr>
                <w:sz w:val="20"/>
              </w:rPr>
              <w:t>2.1923</w:t>
            </w:r>
          </w:p>
        </w:tc>
        <w:tc>
          <w:tcPr>
            <w:tcW w:w="959" w:type="dxa"/>
          </w:tcPr>
          <w:p w:rsidR="007A0FE6" w:rsidRDefault="005C2DF8">
            <w:pPr>
              <w:pStyle w:val="TableParagraph"/>
              <w:spacing w:line="204" w:lineRule="exact"/>
              <w:ind w:left="148"/>
              <w:rPr>
                <w:sz w:val="20"/>
              </w:rPr>
            </w:pPr>
            <w:r>
              <w:rPr>
                <w:sz w:val="20"/>
              </w:rPr>
              <w:t>1.17539</w:t>
            </w:r>
          </w:p>
        </w:tc>
        <w:tc>
          <w:tcPr>
            <w:tcW w:w="1616" w:type="dxa"/>
          </w:tcPr>
          <w:p w:rsidR="007A0FE6" w:rsidRDefault="005C2DF8">
            <w:pPr>
              <w:pStyle w:val="TableParagraph"/>
              <w:spacing w:line="204" w:lineRule="exact"/>
              <w:ind w:left="83" w:right="241"/>
              <w:jc w:val="center"/>
              <w:rPr>
                <w:sz w:val="20"/>
              </w:rPr>
            </w:pPr>
            <w:r>
              <w:rPr>
                <w:sz w:val="20"/>
              </w:rPr>
              <w:t>0.23051</w:t>
            </w:r>
          </w:p>
        </w:tc>
        <w:tc>
          <w:tcPr>
            <w:tcW w:w="996" w:type="dxa"/>
          </w:tcPr>
          <w:p w:rsidR="007A0FE6" w:rsidRDefault="007A0FE6">
            <w:pPr>
              <w:pStyle w:val="TableParagraph"/>
              <w:rPr>
                <w:sz w:val="16"/>
              </w:rPr>
            </w:pPr>
          </w:p>
        </w:tc>
        <w:tc>
          <w:tcPr>
            <w:tcW w:w="1591" w:type="dxa"/>
          </w:tcPr>
          <w:p w:rsidR="007A0FE6" w:rsidRDefault="007A0FE6">
            <w:pPr>
              <w:pStyle w:val="TableParagraph"/>
              <w:rPr>
                <w:sz w:val="16"/>
              </w:rPr>
            </w:pPr>
          </w:p>
        </w:tc>
      </w:tr>
      <w:tr w:rsidR="007A0FE6">
        <w:trPr>
          <w:trHeight w:val="460"/>
        </w:trPr>
        <w:tc>
          <w:tcPr>
            <w:tcW w:w="2009" w:type="dxa"/>
          </w:tcPr>
          <w:p w:rsidR="007A0FE6" w:rsidRDefault="007A0FE6">
            <w:pPr>
              <w:pStyle w:val="TableParagraph"/>
              <w:spacing w:before="1"/>
              <w:rPr>
                <w:sz w:val="20"/>
              </w:rPr>
            </w:pPr>
          </w:p>
          <w:p w:rsidR="007A0FE6" w:rsidRDefault="005C2DF8">
            <w:pPr>
              <w:pStyle w:val="TableParagraph"/>
              <w:spacing w:line="210" w:lineRule="exact"/>
              <w:ind w:left="28"/>
              <w:rPr>
                <w:b/>
                <w:sz w:val="20"/>
              </w:rPr>
            </w:pPr>
            <w:r>
              <w:rPr>
                <w:b/>
                <w:sz w:val="20"/>
              </w:rPr>
              <w:t>Reading</w:t>
            </w:r>
          </w:p>
        </w:tc>
        <w:tc>
          <w:tcPr>
            <w:tcW w:w="581" w:type="dxa"/>
          </w:tcPr>
          <w:p w:rsidR="007A0FE6" w:rsidRDefault="007A0FE6">
            <w:pPr>
              <w:pStyle w:val="TableParagraph"/>
              <w:rPr>
                <w:sz w:val="20"/>
              </w:rPr>
            </w:pPr>
          </w:p>
        </w:tc>
        <w:tc>
          <w:tcPr>
            <w:tcW w:w="949" w:type="dxa"/>
          </w:tcPr>
          <w:p w:rsidR="007A0FE6" w:rsidRDefault="007A0FE6">
            <w:pPr>
              <w:pStyle w:val="TableParagraph"/>
              <w:rPr>
                <w:sz w:val="20"/>
              </w:rPr>
            </w:pPr>
          </w:p>
        </w:tc>
        <w:tc>
          <w:tcPr>
            <w:tcW w:w="959" w:type="dxa"/>
          </w:tcPr>
          <w:p w:rsidR="007A0FE6" w:rsidRDefault="007A0FE6">
            <w:pPr>
              <w:pStyle w:val="TableParagraph"/>
              <w:rPr>
                <w:sz w:val="20"/>
              </w:rPr>
            </w:pPr>
          </w:p>
        </w:tc>
        <w:tc>
          <w:tcPr>
            <w:tcW w:w="1616" w:type="dxa"/>
          </w:tcPr>
          <w:p w:rsidR="007A0FE6" w:rsidRDefault="007A0FE6">
            <w:pPr>
              <w:pStyle w:val="TableParagraph"/>
              <w:rPr>
                <w:sz w:val="20"/>
              </w:rPr>
            </w:pPr>
          </w:p>
        </w:tc>
        <w:tc>
          <w:tcPr>
            <w:tcW w:w="996" w:type="dxa"/>
          </w:tcPr>
          <w:p w:rsidR="007A0FE6" w:rsidRDefault="007A0FE6">
            <w:pPr>
              <w:pStyle w:val="TableParagraph"/>
              <w:rPr>
                <w:sz w:val="20"/>
              </w:rPr>
            </w:pPr>
          </w:p>
        </w:tc>
        <w:tc>
          <w:tcPr>
            <w:tcW w:w="1591" w:type="dxa"/>
          </w:tcPr>
          <w:p w:rsidR="007A0FE6" w:rsidRDefault="007A0FE6">
            <w:pPr>
              <w:pStyle w:val="TableParagraph"/>
              <w:rPr>
                <w:sz w:val="20"/>
              </w:rPr>
            </w:pPr>
          </w:p>
        </w:tc>
      </w:tr>
      <w:tr w:rsidR="007A0FE6">
        <w:trPr>
          <w:trHeight w:val="235"/>
        </w:trPr>
        <w:tc>
          <w:tcPr>
            <w:tcW w:w="2009" w:type="dxa"/>
          </w:tcPr>
          <w:p w:rsidR="007A0FE6" w:rsidRDefault="005C2DF8">
            <w:pPr>
              <w:pStyle w:val="TableParagraph"/>
              <w:spacing w:line="205" w:lineRule="exact"/>
              <w:ind w:left="748"/>
              <w:rPr>
                <w:sz w:val="20"/>
              </w:rPr>
            </w:pPr>
            <w:r>
              <w:rPr>
                <w:sz w:val="20"/>
              </w:rPr>
              <w:t>Pre-Test</w:t>
            </w:r>
          </w:p>
        </w:tc>
        <w:tc>
          <w:tcPr>
            <w:tcW w:w="581" w:type="dxa"/>
          </w:tcPr>
          <w:p w:rsidR="007A0FE6" w:rsidRDefault="005C2DF8">
            <w:pPr>
              <w:pStyle w:val="TableParagraph"/>
              <w:spacing w:line="205" w:lineRule="exact"/>
              <w:ind w:left="161" w:right="180"/>
              <w:jc w:val="center"/>
              <w:rPr>
                <w:sz w:val="20"/>
              </w:rPr>
            </w:pPr>
            <w:r>
              <w:rPr>
                <w:sz w:val="20"/>
              </w:rPr>
              <w:t>26</w:t>
            </w:r>
          </w:p>
        </w:tc>
        <w:tc>
          <w:tcPr>
            <w:tcW w:w="949" w:type="dxa"/>
          </w:tcPr>
          <w:p w:rsidR="007A0FE6" w:rsidRDefault="005C2DF8">
            <w:pPr>
              <w:pStyle w:val="TableParagraph"/>
              <w:spacing w:line="205" w:lineRule="exact"/>
              <w:ind w:left="249"/>
              <w:rPr>
                <w:sz w:val="20"/>
              </w:rPr>
            </w:pPr>
            <w:r>
              <w:rPr>
                <w:sz w:val="20"/>
              </w:rPr>
              <w:t>3.6154</w:t>
            </w:r>
          </w:p>
        </w:tc>
        <w:tc>
          <w:tcPr>
            <w:tcW w:w="959" w:type="dxa"/>
          </w:tcPr>
          <w:p w:rsidR="007A0FE6" w:rsidRDefault="005C2DF8">
            <w:pPr>
              <w:pStyle w:val="TableParagraph"/>
              <w:spacing w:line="205" w:lineRule="exact"/>
              <w:ind w:left="148"/>
              <w:rPr>
                <w:sz w:val="20"/>
              </w:rPr>
            </w:pPr>
            <w:r>
              <w:rPr>
                <w:sz w:val="20"/>
              </w:rPr>
              <w:t>1.03255</w:t>
            </w:r>
          </w:p>
        </w:tc>
        <w:tc>
          <w:tcPr>
            <w:tcW w:w="1616" w:type="dxa"/>
          </w:tcPr>
          <w:p w:rsidR="007A0FE6" w:rsidRDefault="005C2DF8">
            <w:pPr>
              <w:pStyle w:val="TableParagraph"/>
              <w:spacing w:line="205" w:lineRule="exact"/>
              <w:ind w:left="56" w:right="248"/>
              <w:jc w:val="center"/>
              <w:rPr>
                <w:sz w:val="20"/>
              </w:rPr>
            </w:pPr>
            <w:r>
              <w:rPr>
                <w:sz w:val="20"/>
              </w:rPr>
              <w:t>0.20250</w:t>
            </w:r>
          </w:p>
        </w:tc>
        <w:tc>
          <w:tcPr>
            <w:tcW w:w="996" w:type="dxa"/>
          </w:tcPr>
          <w:p w:rsidR="007A0FE6" w:rsidRDefault="005C2DF8">
            <w:pPr>
              <w:pStyle w:val="TableParagraph"/>
              <w:spacing w:line="205" w:lineRule="exact"/>
              <w:ind w:left="243" w:right="254"/>
              <w:jc w:val="center"/>
              <w:rPr>
                <w:sz w:val="20"/>
              </w:rPr>
            </w:pPr>
            <w:r>
              <w:rPr>
                <w:sz w:val="20"/>
              </w:rPr>
              <w:t>0.960</w:t>
            </w:r>
          </w:p>
        </w:tc>
        <w:tc>
          <w:tcPr>
            <w:tcW w:w="1591" w:type="dxa"/>
          </w:tcPr>
          <w:p w:rsidR="007A0FE6" w:rsidRDefault="005C2DF8">
            <w:pPr>
              <w:pStyle w:val="TableParagraph"/>
              <w:spacing w:line="205" w:lineRule="exact"/>
              <w:ind w:left="250" w:right="253"/>
              <w:jc w:val="center"/>
              <w:rPr>
                <w:sz w:val="20"/>
              </w:rPr>
            </w:pPr>
            <w:r>
              <w:rPr>
                <w:sz w:val="20"/>
              </w:rPr>
              <w:t>0.000</w:t>
            </w:r>
          </w:p>
        </w:tc>
      </w:tr>
      <w:tr w:rsidR="007A0FE6">
        <w:trPr>
          <w:trHeight w:val="225"/>
        </w:trPr>
        <w:tc>
          <w:tcPr>
            <w:tcW w:w="2009" w:type="dxa"/>
          </w:tcPr>
          <w:p w:rsidR="007A0FE6" w:rsidRDefault="005C2DF8">
            <w:pPr>
              <w:pStyle w:val="TableParagraph"/>
              <w:spacing w:line="205" w:lineRule="exact"/>
              <w:ind w:left="748"/>
              <w:rPr>
                <w:sz w:val="20"/>
              </w:rPr>
            </w:pPr>
            <w:r>
              <w:rPr>
                <w:sz w:val="20"/>
              </w:rPr>
              <w:t>Post-Test</w:t>
            </w:r>
          </w:p>
        </w:tc>
        <w:tc>
          <w:tcPr>
            <w:tcW w:w="581" w:type="dxa"/>
          </w:tcPr>
          <w:p w:rsidR="007A0FE6" w:rsidRDefault="005C2DF8">
            <w:pPr>
              <w:pStyle w:val="TableParagraph"/>
              <w:spacing w:line="205" w:lineRule="exact"/>
              <w:ind w:left="161" w:right="180"/>
              <w:jc w:val="center"/>
              <w:rPr>
                <w:sz w:val="20"/>
              </w:rPr>
            </w:pPr>
            <w:r>
              <w:rPr>
                <w:sz w:val="20"/>
              </w:rPr>
              <w:t>26</w:t>
            </w:r>
          </w:p>
        </w:tc>
        <w:tc>
          <w:tcPr>
            <w:tcW w:w="949" w:type="dxa"/>
          </w:tcPr>
          <w:p w:rsidR="007A0FE6" w:rsidRDefault="005C2DF8">
            <w:pPr>
              <w:pStyle w:val="TableParagraph"/>
              <w:spacing w:line="205" w:lineRule="exact"/>
              <w:ind w:left="249"/>
              <w:rPr>
                <w:sz w:val="20"/>
              </w:rPr>
            </w:pPr>
            <w:r>
              <w:rPr>
                <w:sz w:val="20"/>
              </w:rPr>
              <w:t>3.9038</w:t>
            </w:r>
          </w:p>
        </w:tc>
        <w:tc>
          <w:tcPr>
            <w:tcW w:w="959" w:type="dxa"/>
          </w:tcPr>
          <w:p w:rsidR="007A0FE6" w:rsidRDefault="005C2DF8">
            <w:pPr>
              <w:pStyle w:val="TableParagraph"/>
              <w:spacing w:line="205" w:lineRule="exact"/>
              <w:ind w:left="148"/>
              <w:rPr>
                <w:sz w:val="20"/>
              </w:rPr>
            </w:pPr>
            <w:r>
              <w:rPr>
                <w:sz w:val="20"/>
              </w:rPr>
              <w:t>1.36396</w:t>
            </w:r>
          </w:p>
        </w:tc>
        <w:tc>
          <w:tcPr>
            <w:tcW w:w="1616" w:type="dxa"/>
          </w:tcPr>
          <w:p w:rsidR="007A0FE6" w:rsidRDefault="005C2DF8">
            <w:pPr>
              <w:pStyle w:val="TableParagraph"/>
              <w:spacing w:line="205" w:lineRule="exact"/>
              <w:ind w:left="56" w:right="248"/>
              <w:jc w:val="center"/>
              <w:rPr>
                <w:sz w:val="20"/>
              </w:rPr>
            </w:pPr>
            <w:r>
              <w:rPr>
                <w:sz w:val="20"/>
              </w:rPr>
              <w:t>0.26749</w:t>
            </w:r>
          </w:p>
        </w:tc>
        <w:tc>
          <w:tcPr>
            <w:tcW w:w="996" w:type="dxa"/>
          </w:tcPr>
          <w:p w:rsidR="007A0FE6" w:rsidRDefault="007A0FE6">
            <w:pPr>
              <w:pStyle w:val="TableParagraph"/>
              <w:rPr>
                <w:sz w:val="16"/>
              </w:rPr>
            </w:pPr>
          </w:p>
        </w:tc>
        <w:tc>
          <w:tcPr>
            <w:tcW w:w="1591" w:type="dxa"/>
          </w:tcPr>
          <w:p w:rsidR="007A0FE6" w:rsidRDefault="007A0FE6">
            <w:pPr>
              <w:pStyle w:val="TableParagraph"/>
              <w:rPr>
                <w:sz w:val="16"/>
              </w:rPr>
            </w:pPr>
          </w:p>
        </w:tc>
      </w:tr>
    </w:tbl>
    <w:p w:rsidR="007A0FE6" w:rsidRDefault="007A0FE6">
      <w:pPr>
        <w:rPr>
          <w:sz w:val="16"/>
        </w:rPr>
        <w:sectPr w:rsidR="007A0FE6">
          <w:pgSz w:w="12240" w:h="15840"/>
          <w:pgMar w:top="1500" w:right="1580" w:bottom="1260" w:left="1580" w:header="0" w:footer="1061" w:gutter="0"/>
          <w:cols w:space="720"/>
        </w:sectPr>
      </w:pPr>
    </w:p>
    <w:p w:rsidR="007A0FE6" w:rsidRDefault="005C2DF8">
      <w:pPr>
        <w:spacing w:before="171"/>
        <w:ind w:left="220"/>
        <w:rPr>
          <w:b/>
          <w:sz w:val="20"/>
        </w:rPr>
      </w:pPr>
      <w:r>
        <w:rPr>
          <w:b/>
          <w:w w:val="95"/>
          <w:sz w:val="20"/>
        </w:rPr>
        <w:t>Writing</w:t>
      </w:r>
    </w:p>
    <w:p w:rsidR="007A0FE6" w:rsidRDefault="005C2DF8">
      <w:pPr>
        <w:pStyle w:val="BodyText"/>
        <w:rPr>
          <w:b/>
          <w:sz w:val="22"/>
        </w:rPr>
      </w:pPr>
      <w:r>
        <w:br w:type="column"/>
      </w:r>
    </w:p>
    <w:p w:rsidR="007A0FE6" w:rsidRDefault="005C2DF8">
      <w:pPr>
        <w:tabs>
          <w:tab w:val="left" w:pos="1443"/>
          <w:tab w:val="left" w:pos="2097"/>
          <w:tab w:val="left" w:pos="3043"/>
          <w:tab w:val="left" w:pos="4142"/>
          <w:tab w:val="left" w:pos="5638"/>
          <w:tab w:val="left" w:pos="6935"/>
        </w:tabs>
        <w:spacing w:before="146"/>
        <w:ind w:left="4"/>
        <w:rPr>
          <w:sz w:val="20"/>
        </w:rPr>
      </w:pPr>
      <w:r>
        <w:rPr>
          <w:sz w:val="20"/>
        </w:rPr>
        <w:t>Pre-Test</w:t>
      </w:r>
      <w:r>
        <w:rPr>
          <w:sz w:val="20"/>
        </w:rPr>
        <w:tab/>
        <w:t>26</w:t>
      </w:r>
      <w:r>
        <w:rPr>
          <w:sz w:val="20"/>
        </w:rPr>
        <w:tab/>
        <w:t>3.0962</w:t>
      </w:r>
      <w:r>
        <w:rPr>
          <w:sz w:val="20"/>
        </w:rPr>
        <w:tab/>
        <w:t>0.89464</w:t>
      </w:r>
      <w:r>
        <w:rPr>
          <w:sz w:val="20"/>
        </w:rPr>
        <w:tab/>
        <w:t>0.17545</w:t>
      </w:r>
      <w:r>
        <w:rPr>
          <w:sz w:val="20"/>
        </w:rPr>
        <w:tab/>
        <w:t>0.951</w:t>
      </w:r>
      <w:r>
        <w:rPr>
          <w:sz w:val="20"/>
        </w:rPr>
        <w:tab/>
        <w:t>0.000</w:t>
      </w:r>
    </w:p>
    <w:p w:rsidR="007A0FE6" w:rsidRDefault="005C2DF8">
      <w:pPr>
        <w:tabs>
          <w:tab w:val="left" w:pos="1443"/>
          <w:tab w:val="left" w:pos="2094"/>
          <w:tab w:val="left" w:pos="3040"/>
          <w:tab w:val="right" w:pos="4788"/>
        </w:tabs>
        <w:ind w:left="4"/>
        <w:rPr>
          <w:sz w:val="20"/>
        </w:rPr>
      </w:pPr>
      <w:r>
        <w:rPr>
          <w:sz w:val="20"/>
        </w:rPr>
        <w:t>Post-Test</w:t>
      </w:r>
      <w:r>
        <w:rPr>
          <w:sz w:val="20"/>
        </w:rPr>
        <w:tab/>
        <w:t>26</w:t>
      </w:r>
      <w:r>
        <w:rPr>
          <w:sz w:val="20"/>
        </w:rPr>
        <w:tab/>
        <w:t>3.3269</w:t>
      </w:r>
      <w:r>
        <w:rPr>
          <w:sz w:val="20"/>
        </w:rPr>
        <w:tab/>
        <w:t>1.20783</w:t>
      </w:r>
      <w:r>
        <w:rPr>
          <w:sz w:val="20"/>
        </w:rPr>
        <w:tab/>
        <w:t>0.23687</w:t>
      </w:r>
    </w:p>
    <w:p w:rsidR="007A0FE6" w:rsidRDefault="007A0FE6">
      <w:pPr>
        <w:rPr>
          <w:sz w:val="20"/>
        </w:rPr>
        <w:sectPr w:rsidR="007A0FE6">
          <w:pgSz w:w="12240" w:h="15840"/>
          <w:pgMar w:top="1500" w:right="1580" w:bottom="1260" w:left="1580" w:header="0" w:footer="1061" w:gutter="0"/>
          <w:cols w:num="2" w:space="720" w:equalWidth="0">
            <w:col w:w="897" w:space="40"/>
            <w:col w:w="8143"/>
          </w:cols>
        </w:sectPr>
      </w:pPr>
    </w:p>
    <w:p w:rsidR="007A0FE6" w:rsidRDefault="007A0FE6">
      <w:pPr>
        <w:pStyle w:val="BodyText"/>
        <w:spacing w:before="1"/>
        <w:rPr>
          <w:sz w:val="20"/>
        </w:rPr>
      </w:pPr>
    </w:p>
    <w:p w:rsidR="007A0FE6" w:rsidRDefault="005C2DF8">
      <w:pPr>
        <w:spacing w:after="10"/>
        <w:ind w:left="220"/>
        <w:rPr>
          <w:b/>
          <w:sz w:val="20"/>
        </w:rPr>
      </w:pPr>
      <w:r>
        <w:rPr>
          <w:b/>
          <w:sz w:val="20"/>
        </w:rPr>
        <w:t>Speaking</w:t>
      </w:r>
    </w:p>
    <w:tbl>
      <w:tblPr>
        <w:tblW w:w="0" w:type="auto"/>
        <w:tblInd w:w="897" w:type="dxa"/>
        <w:tblLayout w:type="fixed"/>
        <w:tblCellMar>
          <w:left w:w="0" w:type="dxa"/>
          <w:right w:w="0" w:type="dxa"/>
        </w:tblCellMar>
        <w:tblLook w:val="01E0"/>
      </w:tblPr>
      <w:tblGrid>
        <w:gridCol w:w="1148"/>
        <w:gridCol w:w="767"/>
        <w:gridCol w:w="948"/>
        <w:gridCol w:w="1073"/>
        <w:gridCol w:w="1322"/>
        <w:gridCol w:w="1305"/>
        <w:gridCol w:w="931"/>
      </w:tblGrid>
      <w:tr w:rsidR="007A0FE6">
        <w:trPr>
          <w:trHeight w:val="225"/>
        </w:trPr>
        <w:tc>
          <w:tcPr>
            <w:tcW w:w="1148" w:type="dxa"/>
          </w:tcPr>
          <w:p w:rsidR="007A0FE6" w:rsidRDefault="005C2DF8">
            <w:pPr>
              <w:pStyle w:val="TableParagraph"/>
              <w:spacing w:line="205" w:lineRule="exact"/>
              <w:ind w:left="50"/>
              <w:rPr>
                <w:sz w:val="20"/>
              </w:rPr>
            </w:pPr>
            <w:r>
              <w:rPr>
                <w:sz w:val="20"/>
              </w:rPr>
              <w:t>Pre-Test</w:t>
            </w:r>
          </w:p>
        </w:tc>
        <w:tc>
          <w:tcPr>
            <w:tcW w:w="767" w:type="dxa"/>
          </w:tcPr>
          <w:p w:rsidR="007A0FE6" w:rsidRDefault="005C2DF8">
            <w:pPr>
              <w:pStyle w:val="TableParagraph"/>
              <w:spacing w:line="205" w:lineRule="exact"/>
              <w:ind w:right="222"/>
              <w:jc w:val="right"/>
              <w:rPr>
                <w:sz w:val="20"/>
              </w:rPr>
            </w:pPr>
            <w:r>
              <w:rPr>
                <w:sz w:val="20"/>
              </w:rPr>
              <w:t>26</w:t>
            </w:r>
          </w:p>
        </w:tc>
        <w:tc>
          <w:tcPr>
            <w:tcW w:w="948" w:type="dxa"/>
          </w:tcPr>
          <w:p w:rsidR="007A0FE6" w:rsidRDefault="005C2DF8">
            <w:pPr>
              <w:pStyle w:val="TableParagraph"/>
              <w:spacing w:line="205" w:lineRule="exact"/>
              <w:ind w:left="204" w:right="153"/>
              <w:jc w:val="center"/>
              <w:rPr>
                <w:sz w:val="20"/>
              </w:rPr>
            </w:pPr>
            <w:r>
              <w:rPr>
                <w:sz w:val="20"/>
              </w:rPr>
              <w:t>2.4615</w:t>
            </w:r>
          </w:p>
        </w:tc>
        <w:tc>
          <w:tcPr>
            <w:tcW w:w="1073" w:type="dxa"/>
          </w:tcPr>
          <w:p w:rsidR="007A0FE6" w:rsidRDefault="005C2DF8">
            <w:pPr>
              <w:pStyle w:val="TableParagraph"/>
              <w:spacing w:line="205" w:lineRule="exact"/>
              <w:ind w:left="175"/>
              <w:rPr>
                <w:sz w:val="20"/>
              </w:rPr>
            </w:pPr>
            <w:r>
              <w:rPr>
                <w:sz w:val="20"/>
              </w:rPr>
              <w:t>0.97901</w:t>
            </w:r>
          </w:p>
        </w:tc>
        <w:tc>
          <w:tcPr>
            <w:tcW w:w="1322" w:type="dxa"/>
          </w:tcPr>
          <w:p w:rsidR="007A0FE6" w:rsidRDefault="005C2DF8">
            <w:pPr>
              <w:pStyle w:val="TableParagraph"/>
              <w:spacing w:line="205" w:lineRule="exact"/>
              <w:ind w:left="249"/>
              <w:rPr>
                <w:sz w:val="20"/>
              </w:rPr>
            </w:pPr>
            <w:r>
              <w:rPr>
                <w:sz w:val="20"/>
              </w:rPr>
              <w:t>0.19200</w:t>
            </w:r>
          </w:p>
        </w:tc>
        <w:tc>
          <w:tcPr>
            <w:tcW w:w="1305" w:type="dxa"/>
          </w:tcPr>
          <w:p w:rsidR="007A0FE6" w:rsidRDefault="005C2DF8">
            <w:pPr>
              <w:pStyle w:val="TableParagraph"/>
              <w:spacing w:line="205" w:lineRule="exact"/>
              <w:ind w:left="423"/>
              <w:rPr>
                <w:sz w:val="20"/>
              </w:rPr>
            </w:pPr>
            <w:r>
              <w:rPr>
                <w:sz w:val="20"/>
              </w:rPr>
              <w:t>0.983</w:t>
            </w:r>
          </w:p>
        </w:tc>
        <w:tc>
          <w:tcPr>
            <w:tcW w:w="931" w:type="dxa"/>
          </w:tcPr>
          <w:p w:rsidR="007A0FE6" w:rsidRDefault="005C2DF8">
            <w:pPr>
              <w:pStyle w:val="TableParagraph"/>
              <w:spacing w:line="205" w:lineRule="exact"/>
              <w:ind w:left="431"/>
              <w:rPr>
                <w:sz w:val="20"/>
              </w:rPr>
            </w:pPr>
            <w:r>
              <w:rPr>
                <w:sz w:val="20"/>
              </w:rPr>
              <w:t>0.000</w:t>
            </w:r>
          </w:p>
        </w:tc>
      </w:tr>
      <w:tr w:rsidR="007A0FE6">
        <w:trPr>
          <w:trHeight w:val="225"/>
        </w:trPr>
        <w:tc>
          <w:tcPr>
            <w:tcW w:w="1148" w:type="dxa"/>
          </w:tcPr>
          <w:p w:rsidR="007A0FE6" w:rsidRDefault="005C2DF8">
            <w:pPr>
              <w:pStyle w:val="TableParagraph"/>
              <w:spacing w:line="205" w:lineRule="exact"/>
              <w:ind w:left="50"/>
              <w:rPr>
                <w:sz w:val="20"/>
              </w:rPr>
            </w:pPr>
            <w:r>
              <w:rPr>
                <w:sz w:val="20"/>
              </w:rPr>
              <w:t>Post-Test</w:t>
            </w:r>
          </w:p>
        </w:tc>
        <w:tc>
          <w:tcPr>
            <w:tcW w:w="767" w:type="dxa"/>
          </w:tcPr>
          <w:p w:rsidR="007A0FE6" w:rsidRDefault="005C2DF8">
            <w:pPr>
              <w:pStyle w:val="TableParagraph"/>
              <w:spacing w:line="205" w:lineRule="exact"/>
              <w:ind w:right="222"/>
              <w:jc w:val="right"/>
              <w:rPr>
                <w:sz w:val="20"/>
              </w:rPr>
            </w:pPr>
            <w:r>
              <w:rPr>
                <w:sz w:val="20"/>
              </w:rPr>
              <w:t>26</w:t>
            </w:r>
          </w:p>
        </w:tc>
        <w:tc>
          <w:tcPr>
            <w:tcW w:w="948" w:type="dxa"/>
          </w:tcPr>
          <w:p w:rsidR="007A0FE6" w:rsidRDefault="005C2DF8">
            <w:pPr>
              <w:pStyle w:val="TableParagraph"/>
              <w:spacing w:line="205" w:lineRule="exact"/>
              <w:ind w:left="204" w:right="153"/>
              <w:jc w:val="center"/>
              <w:rPr>
                <w:sz w:val="20"/>
              </w:rPr>
            </w:pPr>
            <w:r>
              <w:rPr>
                <w:sz w:val="20"/>
              </w:rPr>
              <w:t>2.5000</w:t>
            </w:r>
          </w:p>
        </w:tc>
        <w:tc>
          <w:tcPr>
            <w:tcW w:w="1073" w:type="dxa"/>
          </w:tcPr>
          <w:p w:rsidR="007A0FE6" w:rsidRDefault="005C2DF8">
            <w:pPr>
              <w:pStyle w:val="TableParagraph"/>
              <w:spacing w:line="205" w:lineRule="exact"/>
              <w:ind w:left="175"/>
              <w:rPr>
                <w:sz w:val="20"/>
              </w:rPr>
            </w:pPr>
            <w:r>
              <w:rPr>
                <w:sz w:val="20"/>
              </w:rPr>
              <w:t>1.12250</w:t>
            </w:r>
          </w:p>
        </w:tc>
        <w:tc>
          <w:tcPr>
            <w:tcW w:w="1322" w:type="dxa"/>
          </w:tcPr>
          <w:p w:rsidR="007A0FE6" w:rsidRDefault="005C2DF8">
            <w:pPr>
              <w:pStyle w:val="TableParagraph"/>
              <w:spacing w:line="205" w:lineRule="exact"/>
              <w:ind w:left="249"/>
              <w:rPr>
                <w:sz w:val="20"/>
              </w:rPr>
            </w:pPr>
            <w:r>
              <w:rPr>
                <w:sz w:val="20"/>
              </w:rPr>
              <w:t>0.22014</w:t>
            </w:r>
          </w:p>
        </w:tc>
        <w:tc>
          <w:tcPr>
            <w:tcW w:w="1305" w:type="dxa"/>
          </w:tcPr>
          <w:p w:rsidR="007A0FE6" w:rsidRDefault="007A0FE6">
            <w:pPr>
              <w:pStyle w:val="TableParagraph"/>
              <w:rPr>
                <w:sz w:val="16"/>
              </w:rPr>
            </w:pPr>
          </w:p>
        </w:tc>
        <w:tc>
          <w:tcPr>
            <w:tcW w:w="931" w:type="dxa"/>
          </w:tcPr>
          <w:p w:rsidR="007A0FE6" w:rsidRDefault="007A0FE6">
            <w:pPr>
              <w:pStyle w:val="TableParagraph"/>
              <w:rPr>
                <w:sz w:val="16"/>
              </w:rPr>
            </w:pPr>
          </w:p>
        </w:tc>
      </w:tr>
    </w:tbl>
    <w:p w:rsidR="007A0FE6" w:rsidRDefault="00D955F1">
      <w:pPr>
        <w:pStyle w:val="BodyText"/>
        <w:spacing w:before="1"/>
        <w:rPr>
          <w:b/>
          <w:sz w:val="18"/>
        </w:rPr>
      </w:pPr>
      <w:r w:rsidRPr="00D955F1">
        <w:pict>
          <v:rect id="_x0000_s1026" style="position:absolute;margin-left:88.6pt;margin-top:12.35pt;width:434.95pt;height:1.45pt;z-index:-251658752;mso-wrap-distance-left:0;mso-wrap-distance-right:0;mso-position-horizontal-relative:page;mso-position-vertical-relative:text" fillcolor="black" stroked="f">
            <w10:wrap type="topAndBottom" anchorx="page"/>
          </v:rect>
        </w:pict>
      </w:r>
    </w:p>
    <w:p w:rsidR="007A0FE6" w:rsidRDefault="007A0FE6">
      <w:pPr>
        <w:pStyle w:val="BodyText"/>
        <w:spacing w:before="7"/>
        <w:rPr>
          <w:b/>
          <w:sz w:val="21"/>
        </w:rPr>
      </w:pPr>
    </w:p>
    <w:p w:rsidR="007A0FE6" w:rsidRDefault="005C2DF8">
      <w:pPr>
        <w:pStyle w:val="Heading2"/>
      </w:pPr>
      <w:r>
        <w:t>Research question 3</w:t>
      </w:r>
    </w:p>
    <w:p w:rsidR="007A0FE6" w:rsidRDefault="007A0FE6">
      <w:pPr>
        <w:pStyle w:val="BodyText"/>
        <w:rPr>
          <w:b/>
          <w:i/>
        </w:rPr>
      </w:pPr>
    </w:p>
    <w:p w:rsidR="007A0FE6" w:rsidRDefault="005C2DF8">
      <w:pPr>
        <w:pStyle w:val="BodyText"/>
        <w:ind w:left="220" w:right="214"/>
        <w:jc w:val="both"/>
      </w:pPr>
      <w:r>
        <w:t xml:space="preserve">At the same time, classroom observations of the participants’ responses showed that they could not manage an instantaneous spoken discourse at the first encounter. When the audio materials were being played, the active and talkative participants would suddenly keep quiet until the ends of the audio recordings. Many of them managed to comprehend the main messages after four times replays of the audio materials, but they still missed out on the details. They were seen counter-checking the details with one another after the listening tasks. However, no one was sure of the exact details transpired, because everyone seemed to pick up on different parts of the audio materials. One of the linguistic features that impressed on the participants might have been the pronunciation, and the accents of the native speakers. A few of the participants </w:t>
      </w:r>
      <w:proofErr w:type="spellStart"/>
      <w:r>
        <w:t>practised</w:t>
      </w:r>
      <w:proofErr w:type="spellEnd"/>
      <w:r>
        <w:t xml:space="preserve"> speaking new words they picked up from the audio materials and started rehearse-speaking using native accents. Only a few of the advanced learners seemed to remember more details, such as grammatical aspects, and sentence structures of the audio materials (Doff et al.,</w:t>
      </w:r>
      <w:r>
        <w:rPr>
          <w:spacing w:val="-6"/>
        </w:rPr>
        <w:t xml:space="preserve"> </w:t>
      </w:r>
      <w:r>
        <w:t>2013).</w:t>
      </w:r>
    </w:p>
    <w:p w:rsidR="007A0FE6" w:rsidRDefault="007A0FE6">
      <w:pPr>
        <w:pStyle w:val="BodyText"/>
        <w:spacing w:before="1"/>
      </w:pPr>
    </w:p>
    <w:p w:rsidR="007A0FE6" w:rsidRDefault="005C2DF8">
      <w:pPr>
        <w:pStyle w:val="BodyText"/>
        <w:ind w:left="220" w:right="214"/>
        <w:jc w:val="both"/>
        <w:rPr>
          <w:rFonts w:ascii="Arial" w:hAnsi="Arial"/>
        </w:rPr>
      </w:pPr>
      <w:r>
        <w:t>At pre-listening stage, the participants requested some help from the researcher to complete pre-listening task before the audio materials were played and replayed four times. Surprisingly, the participants seemed able to complete the post-listening tasks easily own their own. During the while-listening stage, the audio materials might have negotiated the main ideas with the participants (King, 2016). None of the participants were seen checking their answers with one another, while completing the post-listening tasks. They were seen quite confident that they knew the right answers. The triangulated quantitative and qualitative results showed that listening comprehension improves the participants’ overall language proficiency. The highest correlation between speaking pre- test, and post-test scores, and the observations results of the participants’ responses confirmed that listening comprehension effected on their speaking proficiency</w:t>
      </w:r>
      <w:r>
        <w:rPr>
          <w:rFonts w:ascii="Arial" w:hAnsi="Arial"/>
        </w:rPr>
        <w:t>.</w:t>
      </w:r>
    </w:p>
    <w:p w:rsidR="007A0FE6" w:rsidRDefault="007A0FE6">
      <w:pPr>
        <w:pStyle w:val="BodyText"/>
        <w:rPr>
          <w:rFonts w:ascii="Arial"/>
          <w:sz w:val="26"/>
        </w:rPr>
      </w:pPr>
    </w:p>
    <w:p w:rsidR="007A0FE6" w:rsidRDefault="007A0FE6">
      <w:pPr>
        <w:pStyle w:val="BodyText"/>
        <w:spacing w:before="11"/>
        <w:rPr>
          <w:rFonts w:ascii="Arial"/>
          <w:sz w:val="21"/>
        </w:rPr>
      </w:pPr>
    </w:p>
    <w:p w:rsidR="007A0FE6" w:rsidRDefault="005C2DF8">
      <w:pPr>
        <w:pStyle w:val="Heading1"/>
      </w:pPr>
      <w:r>
        <w:t>Discussion</w:t>
      </w:r>
    </w:p>
    <w:p w:rsidR="007A0FE6" w:rsidRDefault="007A0FE6">
      <w:pPr>
        <w:pStyle w:val="BodyText"/>
        <w:rPr>
          <w:b/>
        </w:rPr>
      </w:pPr>
    </w:p>
    <w:p w:rsidR="007A0FE6" w:rsidRDefault="005C2DF8">
      <w:pPr>
        <w:pStyle w:val="BodyText"/>
        <w:spacing w:before="1"/>
        <w:ind w:left="220" w:right="215"/>
        <w:jc w:val="both"/>
      </w:pPr>
      <w:r>
        <w:t>Based on the findings of this study, listening comprehension tasks had improved listening proficiency of the participants. At the end of this study, the improved listening proficiency had proven to have a significant impact on their listening, reading, and writing proficiencies. Nevertheless, the effect of listening comprehension on speaking proficiency was not statistically significant, but speaking proficiency had the highest correlation between the pre-test and post-test</w:t>
      </w:r>
      <w:r>
        <w:rPr>
          <w:spacing w:val="-2"/>
        </w:rPr>
        <w:t xml:space="preserve"> </w:t>
      </w:r>
      <w:r>
        <w:t>scores.</w:t>
      </w:r>
    </w:p>
    <w:p w:rsidR="007A0FE6" w:rsidRDefault="007A0FE6">
      <w:pPr>
        <w:jc w:val="both"/>
        <w:sectPr w:rsidR="007A0FE6">
          <w:type w:val="continuous"/>
          <w:pgSz w:w="12240" w:h="15840"/>
          <w:pgMar w:top="640" w:right="1580" w:bottom="280" w:left="1580" w:header="720" w:footer="720" w:gutter="0"/>
          <w:cols w:space="720"/>
        </w:sectPr>
      </w:pPr>
    </w:p>
    <w:p w:rsidR="007A0FE6" w:rsidRDefault="005C2DF8">
      <w:pPr>
        <w:pStyle w:val="BodyText"/>
        <w:spacing w:before="79"/>
        <w:ind w:left="220" w:right="214"/>
        <w:jc w:val="both"/>
      </w:pPr>
      <w:r>
        <w:t>Being a receptive skill, listening skills share some basic cognitive processes with reading skills. They occupy two disparate ends of the language input continuum (</w:t>
      </w:r>
      <w:proofErr w:type="spellStart"/>
      <w:r>
        <w:t>Hornberger</w:t>
      </w:r>
      <w:proofErr w:type="spellEnd"/>
      <w:r>
        <w:t>, 2003). Listening, and reading skills, both involve phonological, syntactic, semantic, and pragmatic orchestration of linguistics knowledge (bottom-up process), and comprehension (top-down process) when receiving comprehensible language input (</w:t>
      </w:r>
      <w:proofErr w:type="spellStart"/>
      <w:r>
        <w:t>Sasson</w:t>
      </w:r>
      <w:proofErr w:type="spellEnd"/>
      <w:r>
        <w:t xml:space="preserve">, 2014). </w:t>
      </w:r>
      <w:r>
        <w:rPr>
          <w:spacing w:val="-3"/>
        </w:rPr>
        <w:t xml:space="preserve">In </w:t>
      </w:r>
      <w:r>
        <w:t>the contexts of the present study, the participants’ reading skills are more amicable than their listening skills, the reason could be the participants lack adequate control over the speech trails which was quick and temporary; whereas in reading, the participants can always go back to difficult words, or phrases to assess understanding.</w:t>
      </w:r>
    </w:p>
    <w:p w:rsidR="007A0FE6" w:rsidRDefault="007A0FE6">
      <w:pPr>
        <w:pStyle w:val="BodyText"/>
      </w:pPr>
    </w:p>
    <w:p w:rsidR="007A0FE6" w:rsidRDefault="005C2DF8">
      <w:pPr>
        <w:pStyle w:val="BodyText"/>
        <w:ind w:left="220" w:right="211"/>
        <w:jc w:val="both"/>
      </w:pPr>
      <w:r>
        <w:t>Regardless of language, the aural/oral language skills usually develop before the graphic/written language skills (Griffiths, 2008). Once children are ready to read, their aural/oral language are decoded phonologically, and they begin to establish the linguistics mapping among phonology, syntactic, and semantic in their minds that provides meaning for words (</w:t>
      </w:r>
      <w:proofErr w:type="spellStart"/>
      <w:r>
        <w:t>McCardle</w:t>
      </w:r>
      <w:proofErr w:type="spellEnd"/>
      <w:r>
        <w:t xml:space="preserve">, &amp; </w:t>
      </w:r>
      <w:proofErr w:type="spellStart"/>
      <w:r>
        <w:t>Chhabra</w:t>
      </w:r>
      <w:proofErr w:type="spellEnd"/>
      <w:r>
        <w:t>, 2004). However, in the contexts of rural secondary school where English language is not usually heard of outside of the classroom, the participants learn to read and write without being properly equipped with English phonological knowledge. They read, and write words that they have not heard, and speak. They learn aural/oral language by encoding pronunciation to words, in this way, they reverse the sequence of how first language is being learned. They achieved higher performance in reading and writing due to more emphasis of these skills over a long period of time in school (Baumann &amp; Williams, 2010).</w:t>
      </w:r>
    </w:p>
    <w:p w:rsidR="007A0FE6" w:rsidRDefault="007A0FE6">
      <w:pPr>
        <w:pStyle w:val="BodyText"/>
        <w:spacing w:before="1"/>
      </w:pPr>
    </w:p>
    <w:p w:rsidR="007A0FE6" w:rsidRDefault="005C2DF8">
      <w:pPr>
        <w:pStyle w:val="BodyText"/>
        <w:ind w:left="220" w:right="215"/>
        <w:jc w:val="both"/>
      </w:pPr>
      <w:r>
        <w:t xml:space="preserve">Shanahan (2006) argues that the learners’ developed efficient writing skills depending on their acquired knowledge of phonological, syntactic structures, discourse organizations, and pragmatics of the language. </w:t>
      </w:r>
      <w:proofErr w:type="spellStart"/>
      <w:r>
        <w:t>Berninger</w:t>
      </w:r>
      <w:proofErr w:type="spellEnd"/>
      <w:r>
        <w:t xml:space="preserve">, Abbott, and Jones (2006) point out that aural/oral language instruction improves the phonological-orthographic mapping underlying the English spelling system. Therefore, writing skills build upon the acquisition of aural/oral language skills. In the context of the present study, the participants write with a lack of phonological-orthographic knowledge of the second language. They have to rely on their learned knowledge of the second language, and </w:t>
      </w:r>
      <w:proofErr w:type="spellStart"/>
      <w:r>
        <w:t>memorise</w:t>
      </w:r>
      <w:proofErr w:type="spellEnd"/>
      <w:r>
        <w:t xml:space="preserve"> words to perform writing tasks. As a result, their writing skills usually lack accuracy, and fluency.</w:t>
      </w:r>
    </w:p>
    <w:p w:rsidR="007A0FE6" w:rsidRDefault="007A0FE6">
      <w:pPr>
        <w:pStyle w:val="BodyText"/>
        <w:spacing w:before="1"/>
      </w:pPr>
    </w:p>
    <w:p w:rsidR="007A0FE6" w:rsidRDefault="005C2DF8">
      <w:pPr>
        <w:pStyle w:val="BodyText"/>
        <w:ind w:left="220" w:right="213"/>
        <w:jc w:val="both"/>
      </w:pPr>
      <w:r>
        <w:t>The findings of the present study showed no significant effect of listening proficiency on the participants’ speaking proficiency. Paired samples correlations showed the highest correlation between the pre-test and post-test scores of speaking skills, which indicates that the participants’ speaking skills improved most when they were given listening practice. The listening comprehension tasks drew the participants’ attention to the phonological-orthographic relationship during spoken discourse, and how aural/oral language should be presented. When cultural factors, such as speaking formalities, knowledge of the world, topics, and discourse patterns did not distract comprehension, the listening practices generally improved speaking proficiency (Vandergrift,</w:t>
      </w:r>
      <w:r>
        <w:rPr>
          <w:spacing w:val="-10"/>
        </w:rPr>
        <w:t xml:space="preserve"> </w:t>
      </w:r>
      <w:r>
        <w:t>2007).</w:t>
      </w:r>
    </w:p>
    <w:p w:rsidR="007A0FE6" w:rsidRDefault="007A0FE6">
      <w:pPr>
        <w:jc w:val="both"/>
        <w:sectPr w:rsidR="007A0FE6">
          <w:pgSz w:w="12240" w:h="15840"/>
          <w:pgMar w:top="1360" w:right="1580" w:bottom="1260" w:left="1580" w:header="0" w:footer="1061" w:gutter="0"/>
          <w:cols w:space="720"/>
        </w:sectPr>
      </w:pPr>
    </w:p>
    <w:p w:rsidR="007A0FE6" w:rsidRDefault="005C2DF8">
      <w:pPr>
        <w:pStyle w:val="BodyText"/>
        <w:spacing w:before="79"/>
        <w:ind w:left="220" w:right="217"/>
        <w:jc w:val="both"/>
      </w:pPr>
      <w:r>
        <w:t xml:space="preserve">Speaking skills involve a repertoire of psychological and interpersonal features when it comes to learning initiatives, and language production. </w:t>
      </w:r>
      <w:r>
        <w:rPr>
          <w:spacing w:val="-3"/>
        </w:rPr>
        <w:t xml:space="preserve">In </w:t>
      </w:r>
      <w:r>
        <w:t xml:space="preserve">the context of </w:t>
      </w:r>
      <w:proofErr w:type="gramStart"/>
      <w:r>
        <w:t>the  present</w:t>
      </w:r>
      <w:proofErr w:type="gramEnd"/>
      <w:r>
        <w:t xml:space="preserve"> study, the participants experienced very few opportunities of </w:t>
      </w:r>
      <w:proofErr w:type="spellStart"/>
      <w:r>
        <w:t>practising</w:t>
      </w:r>
      <w:proofErr w:type="spellEnd"/>
      <w:r>
        <w:t xml:space="preserve"> speaking skills in their daily lives. Instead of learning speaking skills, participants could have been given a chance to learn listening to real time aural discourses, in order to build on their focused attention, and self-confidence in a new language (Edwards &amp; Roger, 2015). Listening is considered the “offset hypothesis” of speaking. Participants will adapt to speaking a second language, when listening has improved their second language proficiency when they are becoming less vigilant about the difficulties involve in speaking a new language (James, 1985). Listening encourages negotiation of meaning, and autonomous learning. Therefore, listening skill should be </w:t>
      </w:r>
      <w:proofErr w:type="spellStart"/>
      <w:proofErr w:type="gramStart"/>
      <w:r>
        <w:t>prioritise</w:t>
      </w:r>
      <w:proofErr w:type="spellEnd"/>
      <w:proofErr w:type="gramEnd"/>
      <w:r>
        <w:t xml:space="preserve"> when the participants’ speaking skills is their lowest performing language</w:t>
      </w:r>
      <w:r>
        <w:rPr>
          <w:spacing w:val="-4"/>
        </w:rPr>
        <w:t xml:space="preserve"> </w:t>
      </w:r>
      <w:r>
        <w:t>skill.</w:t>
      </w:r>
    </w:p>
    <w:p w:rsidR="007A0FE6" w:rsidRDefault="007A0FE6">
      <w:pPr>
        <w:pStyle w:val="BodyText"/>
        <w:rPr>
          <w:sz w:val="26"/>
        </w:rPr>
      </w:pPr>
    </w:p>
    <w:p w:rsidR="007A0FE6" w:rsidRDefault="007A0FE6">
      <w:pPr>
        <w:pStyle w:val="BodyText"/>
        <w:spacing w:before="1"/>
        <w:rPr>
          <w:sz w:val="22"/>
        </w:rPr>
      </w:pPr>
    </w:p>
    <w:p w:rsidR="007A0FE6" w:rsidRDefault="005C2DF8">
      <w:pPr>
        <w:pStyle w:val="Heading1"/>
      </w:pPr>
      <w:r>
        <w:t>Conclusion</w:t>
      </w:r>
    </w:p>
    <w:p w:rsidR="007A0FE6" w:rsidRDefault="007A0FE6">
      <w:pPr>
        <w:pStyle w:val="BodyText"/>
        <w:rPr>
          <w:b/>
        </w:rPr>
      </w:pPr>
    </w:p>
    <w:p w:rsidR="007A0FE6" w:rsidRDefault="005C2DF8">
      <w:pPr>
        <w:pStyle w:val="BodyText"/>
        <w:ind w:left="220" w:right="213"/>
        <w:jc w:val="both"/>
      </w:pPr>
      <w:r>
        <w:t>The present study examined the statistical effects of listening comprehension on the overall second language proficiency of the participants in this study, and the relationships of listening proficiency on the acquisition of three other language skills - reading, speaking, and writing by using sample IELTS language proficiency tests. The statistical effect of listening comprehension on their overall second language proficiency was significant, affording that listening skills matters in ESL/EFL curriculum. Before the participants are able to produce language either in oral or written form, the teachers should set a good model for them to follow, or provide authentic, and interesting listening materials in the classroom. Teachers should not focus on one of the four language skill at the sacrifice of the others. Instead, teachers should integrate four language skills in the classroom instructions from the very beginning. The present study also indicates that listening comprehension facilitated the development of speaking skills of the Malaysian rural secondary school students. The findings encourage further research in ESL/EFL listening syllabus design, ESL/EFL materials development, and classroom pedagogy.</w:t>
      </w:r>
    </w:p>
    <w:p w:rsidR="007A0FE6" w:rsidRDefault="007A0FE6">
      <w:pPr>
        <w:pStyle w:val="BodyText"/>
        <w:rPr>
          <w:sz w:val="26"/>
        </w:rPr>
      </w:pPr>
    </w:p>
    <w:p w:rsidR="007A0FE6" w:rsidRDefault="007A0FE6">
      <w:pPr>
        <w:pStyle w:val="BodyText"/>
        <w:rPr>
          <w:sz w:val="26"/>
        </w:rPr>
      </w:pPr>
    </w:p>
    <w:p w:rsidR="007A0FE6" w:rsidRDefault="005C2DF8">
      <w:pPr>
        <w:pStyle w:val="Heading1"/>
        <w:spacing w:before="231"/>
      </w:pPr>
      <w:r>
        <w:t>References</w:t>
      </w:r>
    </w:p>
    <w:p w:rsidR="007A0FE6" w:rsidRDefault="005C2DF8">
      <w:pPr>
        <w:ind w:left="940" w:right="217" w:hanging="720"/>
        <w:jc w:val="both"/>
        <w:rPr>
          <w:sz w:val="24"/>
        </w:rPr>
      </w:pPr>
      <w:proofErr w:type="gramStart"/>
      <w:r>
        <w:rPr>
          <w:sz w:val="24"/>
        </w:rPr>
        <w:t>Baumann, J. F., &amp; Williams, T. L. (2010).</w:t>
      </w:r>
      <w:proofErr w:type="gramEnd"/>
      <w:r>
        <w:rPr>
          <w:sz w:val="24"/>
        </w:rPr>
        <w:t xml:space="preserve"> </w:t>
      </w:r>
      <w:proofErr w:type="gramStart"/>
      <w:r>
        <w:rPr>
          <w:sz w:val="24"/>
        </w:rPr>
        <w:t>Teacher research and reading difficulties.</w:t>
      </w:r>
      <w:proofErr w:type="gramEnd"/>
      <w:r>
        <w:rPr>
          <w:sz w:val="24"/>
        </w:rPr>
        <w:t xml:space="preserve"> </w:t>
      </w:r>
      <w:proofErr w:type="gramStart"/>
      <w:r>
        <w:rPr>
          <w:sz w:val="24"/>
        </w:rPr>
        <w:t>In A. McGill-</w:t>
      </w:r>
      <w:proofErr w:type="spellStart"/>
      <w:r>
        <w:rPr>
          <w:sz w:val="24"/>
        </w:rPr>
        <w:t>Franzen</w:t>
      </w:r>
      <w:proofErr w:type="spellEnd"/>
      <w:r>
        <w:rPr>
          <w:sz w:val="24"/>
        </w:rPr>
        <w:t xml:space="preserve">, &amp; R. L. </w:t>
      </w:r>
      <w:proofErr w:type="spellStart"/>
      <w:r>
        <w:rPr>
          <w:sz w:val="24"/>
        </w:rPr>
        <w:t>Allington</w:t>
      </w:r>
      <w:proofErr w:type="spellEnd"/>
      <w:r>
        <w:rPr>
          <w:sz w:val="24"/>
        </w:rPr>
        <w:t>.</w:t>
      </w:r>
      <w:proofErr w:type="gramEnd"/>
      <w:r>
        <w:rPr>
          <w:sz w:val="24"/>
        </w:rPr>
        <w:t xml:space="preserve"> (Eds.), </w:t>
      </w:r>
      <w:r>
        <w:rPr>
          <w:i/>
          <w:sz w:val="24"/>
        </w:rPr>
        <w:t xml:space="preserve">Handbook of research on reading disabilities </w:t>
      </w:r>
      <w:r>
        <w:rPr>
          <w:sz w:val="24"/>
        </w:rPr>
        <w:t xml:space="preserve">(pp. 407-418). New York, NY: </w:t>
      </w:r>
      <w:proofErr w:type="spellStart"/>
      <w:r>
        <w:rPr>
          <w:sz w:val="24"/>
        </w:rPr>
        <w:t>Routledge</w:t>
      </w:r>
      <w:proofErr w:type="spellEnd"/>
      <w:r>
        <w:rPr>
          <w:sz w:val="24"/>
        </w:rPr>
        <w:t>.</w:t>
      </w:r>
    </w:p>
    <w:p w:rsidR="007A0FE6" w:rsidRDefault="005C2DF8">
      <w:pPr>
        <w:pStyle w:val="BodyText"/>
        <w:ind w:left="940" w:right="215" w:hanging="720"/>
        <w:jc w:val="both"/>
      </w:pPr>
      <w:proofErr w:type="spellStart"/>
      <w:proofErr w:type="gramStart"/>
      <w:r>
        <w:t>Berninger</w:t>
      </w:r>
      <w:proofErr w:type="spellEnd"/>
      <w:r>
        <w:t>, V. W., Abbott, R. D., &amp; Jones, J. (2006).</w:t>
      </w:r>
      <w:proofErr w:type="gramEnd"/>
      <w:r>
        <w:t xml:space="preserve"> Early development of language by hand: Composing, reading, listening and speaking connections; three letter- writing modes, and fast mapping in spelling. </w:t>
      </w:r>
      <w:r>
        <w:rPr>
          <w:i/>
        </w:rPr>
        <w:t xml:space="preserve">Developmental Neuropsychology, 29(1), 61-92. </w:t>
      </w:r>
      <w:r>
        <w:t>DOI: 101207/s15326942dn2901_5</w:t>
      </w:r>
    </w:p>
    <w:p w:rsidR="007A0FE6" w:rsidRDefault="005C2DF8">
      <w:pPr>
        <w:pStyle w:val="BodyText"/>
        <w:spacing w:before="1"/>
        <w:ind w:left="940" w:right="217" w:hanging="720"/>
        <w:jc w:val="both"/>
      </w:pPr>
      <w:r>
        <w:t xml:space="preserve">Bloomfield, A., Wayland, S. C., Rhoades, E., Blodgett, A., </w:t>
      </w:r>
      <w:proofErr w:type="spellStart"/>
      <w:r>
        <w:t>Linck</w:t>
      </w:r>
      <w:proofErr w:type="spellEnd"/>
      <w:r>
        <w:t>, J. A., &amp; Ross, S. (2010). What makes listening difficult? Factors affecting second language listening comprehension (Technical Report TTO 81434E3.1), College Park, MD: University of Maryland Center for Advanced Study of Language.</w:t>
      </w:r>
    </w:p>
    <w:p w:rsidR="007A0FE6" w:rsidRDefault="007A0FE6">
      <w:pPr>
        <w:jc w:val="both"/>
        <w:sectPr w:rsidR="007A0FE6">
          <w:pgSz w:w="12240" w:h="15840"/>
          <w:pgMar w:top="1360" w:right="1580" w:bottom="1260" w:left="1580" w:header="0" w:footer="1061" w:gutter="0"/>
          <w:cols w:space="720"/>
        </w:sectPr>
      </w:pPr>
    </w:p>
    <w:p w:rsidR="007A0FE6" w:rsidRDefault="005C2DF8">
      <w:pPr>
        <w:spacing w:before="79"/>
        <w:ind w:left="940" w:right="216" w:hanging="720"/>
        <w:jc w:val="both"/>
        <w:rPr>
          <w:sz w:val="24"/>
        </w:rPr>
      </w:pPr>
      <w:proofErr w:type="spellStart"/>
      <w:r>
        <w:rPr>
          <w:sz w:val="24"/>
        </w:rPr>
        <w:t>Bozorgian</w:t>
      </w:r>
      <w:proofErr w:type="spellEnd"/>
      <w:r>
        <w:rPr>
          <w:sz w:val="24"/>
        </w:rPr>
        <w:t xml:space="preserve">, H. (2012a). </w:t>
      </w:r>
      <w:proofErr w:type="gramStart"/>
      <w:r>
        <w:rPr>
          <w:sz w:val="24"/>
        </w:rPr>
        <w:t>The relationship between listening and other language skills in International English Language Testing System.</w:t>
      </w:r>
      <w:proofErr w:type="gramEnd"/>
      <w:r>
        <w:rPr>
          <w:sz w:val="24"/>
        </w:rPr>
        <w:t xml:space="preserve"> </w:t>
      </w:r>
      <w:r>
        <w:rPr>
          <w:i/>
          <w:sz w:val="24"/>
        </w:rPr>
        <w:t>Theory and Practice in Language Studies, 2(4), 657-663.</w:t>
      </w:r>
      <w:r>
        <w:rPr>
          <w:sz w:val="24"/>
        </w:rPr>
        <w:t>DOI: 10.4304/tpls.2.4.657-663</w:t>
      </w:r>
    </w:p>
    <w:p w:rsidR="007A0FE6" w:rsidRDefault="005C2DF8">
      <w:pPr>
        <w:ind w:left="940" w:right="215" w:hanging="720"/>
        <w:jc w:val="both"/>
        <w:rPr>
          <w:sz w:val="24"/>
        </w:rPr>
      </w:pPr>
      <w:proofErr w:type="spellStart"/>
      <w:r>
        <w:rPr>
          <w:sz w:val="24"/>
        </w:rPr>
        <w:t>Bozorgian</w:t>
      </w:r>
      <w:proofErr w:type="spellEnd"/>
      <w:r>
        <w:rPr>
          <w:sz w:val="24"/>
        </w:rPr>
        <w:t xml:space="preserve">, H. (2012b). Listening skill requires a further look into second / foreign language learning. </w:t>
      </w:r>
      <w:proofErr w:type="gramStart"/>
      <w:r>
        <w:rPr>
          <w:i/>
          <w:sz w:val="24"/>
        </w:rPr>
        <w:t>International Scholarly Research Network Education, 2012, 1- 10.</w:t>
      </w:r>
      <w:proofErr w:type="gramEnd"/>
      <w:r>
        <w:rPr>
          <w:i/>
          <w:sz w:val="24"/>
        </w:rPr>
        <w:t xml:space="preserve"> </w:t>
      </w:r>
      <w:r>
        <w:rPr>
          <w:sz w:val="24"/>
        </w:rPr>
        <w:t>DOI: 10.5402/0012/810129</w:t>
      </w:r>
    </w:p>
    <w:p w:rsidR="007A0FE6" w:rsidRDefault="005C2DF8">
      <w:pPr>
        <w:ind w:left="220"/>
        <w:jc w:val="both"/>
        <w:rPr>
          <w:sz w:val="24"/>
        </w:rPr>
      </w:pPr>
      <w:r>
        <w:rPr>
          <w:sz w:val="24"/>
        </w:rPr>
        <w:t xml:space="preserve">Brown, G. (2008). </w:t>
      </w:r>
      <w:proofErr w:type="gramStart"/>
      <w:r>
        <w:rPr>
          <w:sz w:val="24"/>
        </w:rPr>
        <w:t>Selective listening.</w:t>
      </w:r>
      <w:proofErr w:type="gramEnd"/>
      <w:r>
        <w:rPr>
          <w:sz w:val="24"/>
        </w:rPr>
        <w:t xml:space="preserve"> </w:t>
      </w:r>
      <w:r>
        <w:rPr>
          <w:i/>
          <w:sz w:val="24"/>
        </w:rPr>
        <w:t xml:space="preserve">System, 36(1), 10-21. </w:t>
      </w:r>
      <w:r>
        <w:rPr>
          <w:sz w:val="24"/>
        </w:rPr>
        <w:t>DOI: 10.1016/</w:t>
      </w:r>
      <w:proofErr w:type="spellStart"/>
      <w:r>
        <w:rPr>
          <w:sz w:val="24"/>
        </w:rPr>
        <w:t>j.system</w:t>
      </w:r>
      <w:proofErr w:type="spellEnd"/>
      <w:r>
        <w:rPr>
          <w:sz w:val="24"/>
        </w:rPr>
        <w:t>.</w:t>
      </w:r>
    </w:p>
    <w:p w:rsidR="007A0FE6" w:rsidRDefault="005C2DF8">
      <w:pPr>
        <w:pStyle w:val="BodyText"/>
        <w:ind w:left="940"/>
      </w:pPr>
      <w:r>
        <w:t>2007.11.002</w:t>
      </w:r>
    </w:p>
    <w:p w:rsidR="007A0FE6" w:rsidRDefault="005C2DF8">
      <w:pPr>
        <w:ind w:left="940" w:right="216" w:hanging="720"/>
        <w:jc w:val="both"/>
        <w:rPr>
          <w:sz w:val="24"/>
        </w:rPr>
      </w:pPr>
      <w:proofErr w:type="spellStart"/>
      <w:proofErr w:type="gramStart"/>
      <w:r>
        <w:rPr>
          <w:sz w:val="24"/>
        </w:rPr>
        <w:t>Celce</w:t>
      </w:r>
      <w:proofErr w:type="spellEnd"/>
      <w:r>
        <w:rPr>
          <w:sz w:val="24"/>
        </w:rPr>
        <w:t xml:space="preserve">-Murcia, M., &amp; </w:t>
      </w:r>
      <w:proofErr w:type="spellStart"/>
      <w:r>
        <w:rPr>
          <w:sz w:val="24"/>
        </w:rPr>
        <w:t>Olshtain</w:t>
      </w:r>
      <w:proofErr w:type="spellEnd"/>
      <w:r>
        <w:rPr>
          <w:sz w:val="24"/>
        </w:rPr>
        <w:t>, E. (2005).</w:t>
      </w:r>
      <w:proofErr w:type="gramEnd"/>
      <w:r>
        <w:rPr>
          <w:sz w:val="24"/>
        </w:rPr>
        <w:t xml:space="preserve"> Discourse-based approach: A new framework for second language teaching and learning. In E. </w:t>
      </w:r>
      <w:proofErr w:type="spellStart"/>
      <w:r>
        <w:rPr>
          <w:sz w:val="24"/>
        </w:rPr>
        <w:t>Hinkel</w:t>
      </w:r>
      <w:proofErr w:type="spellEnd"/>
      <w:r>
        <w:rPr>
          <w:sz w:val="24"/>
        </w:rPr>
        <w:t xml:space="preserve"> (Ed.), </w:t>
      </w:r>
      <w:r>
        <w:rPr>
          <w:i/>
          <w:sz w:val="24"/>
        </w:rPr>
        <w:t xml:space="preserve">Handbook of research in second language teaching and learning </w:t>
      </w:r>
      <w:r>
        <w:rPr>
          <w:sz w:val="24"/>
        </w:rPr>
        <w:t>(pp. 729-742). Mahwah, NJ: Lawrence Erlbaum Associates.</w:t>
      </w:r>
    </w:p>
    <w:p w:rsidR="007A0FE6" w:rsidRDefault="005C2DF8">
      <w:pPr>
        <w:spacing w:before="1"/>
        <w:ind w:left="940" w:right="214" w:hanging="720"/>
        <w:jc w:val="both"/>
        <w:rPr>
          <w:sz w:val="24"/>
        </w:rPr>
      </w:pPr>
      <w:r>
        <w:rPr>
          <w:sz w:val="24"/>
        </w:rPr>
        <w:t xml:space="preserve">Cook, J. (2015). </w:t>
      </w:r>
      <w:proofErr w:type="gramStart"/>
      <w:r>
        <w:rPr>
          <w:sz w:val="24"/>
        </w:rPr>
        <w:t>Negotiation for meaning and feedback among language learners.</w:t>
      </w:r>
      <w:proofErr w:type="gramEnd"/>
      <w:r>
        <w:rPr>
          <w:sz w:val="24"/>
        </w:rPr>
        <w:t xml:space="preserve"> </w:t>
      </w:r>
      <w:r>
        <w:rPr>
          <w:i/>
          <w:sz w:val="24"/>
        </w:rPr>
        <w:t xml:space="preserve">Journal of Language Teaching and Research, 6(2), 250-257. </w:t>
      </w:r>
      <w:r>
        <w:rPr>
          <w:sz w:val="24"/>
        </w:rPr>
        <w:t>DOI: 10.17507/jltr.0602.02</w:t>
      </w:r>
    </w:p>
    <w:p w:rsidR="007A0FE6" w:rsidRDefault="005C2DF8">
      <w:pPr>
        <w:pStyle w:val="BodyText"/>
        <w:ind w:left="940" w:right="219" w:hanging="720"/>
        <w:jc w:val="both"/>
      </w:pPr>
      <w:proofErr w:type="spellStart"/>
      <w:proofErr w:type="gramStart"/>
      <w:r>
        <w:t>Csizér</w:t>
      </w:r>
      <w:proofErr w:type="spellEnd"/>
      <w:r>
        <w:t xml:space="preserve">, K., &amp; </w:t>
      </w:r>
      <w:proofErr w:type="spellStart"/>
      <w:r>
        <w:t>Dörnyei</w:t>
      </w:r>
      <w:proofErr w:type="spellEnd"/>
      <w:r>
        <w:t>, Z. (2005).</w:t>
      </w:r>
      <w:proofErr w:type="gramEnd"/>
      <w:r>
        <w:t xml:space="preserve"> </w:t>
      </w:r>
      <w:proofErr w:type="gramStart"/>
      <w:r>
        <w:t>The internal structure of language learning motivation and its relationship with language choice and learning effort.</w:t>
      </w:r>
      <w:proofErr w:type="gramEnd"/>
      <w:r>
        <w:t xml:space="preserve"> </w:t>
      </w:r>
      <w:r>
        <w:rPr>
          <w:i/>
        </w:rPr>
        <w:t xml:space="preserve">The Modern Language Journal, 89(1), 19-36. </w:t>
      </w:r>
      <w:r>
        <w:t>DOI: 10.1111/j.0026_7902.2005.00263.x</w:t>
      </w:r>
    </w:p>
    <w:p w:rsidR="007A0FE6" w:rsidRDefault="005C2DF8">
      <w:pPr>
        <w:ind w:left="940" w:right="217" w:hanging="720"/>
        <w:jc w:val="both"/>
        <w:rPr>
          <w:sz w:val="24"/>
        </w:rPr>
      </w:pPr>
      <w:r>
        <w:rPr>
          <w:sz w:val="24"/>
        </w:rPr>
        <w:t xml:space="preserve">Dailey, J. (2009). </w:t>
      </w:r>
      <w:r>
        <w:rPr>
          <w:i/>
          <w:sz w:val="24"/>
        </w:rPr>
        <w:t xml:space="preserve">Key motivational factors and how teachers can encourage motivation in their study. </w:t>
      </w:r>
      <w:r>
        <w:rPr>
          <w:sz w:val="24"/>
        </w:rPr>
        <w:t xml:space="preserve">Retrieved from </w:t>
      </w:r>
      <w:hyperlink r:id="rId43">
        <w:r>
          <w:rPr>
            <w:sz w:val="24"/>
          </w:rPr>
          <w:t>(http://www.birmingham.ac.uk/Documents/college-</w:t>
        </w:r>
      </w:hyperlink>
      <w:r>
        <w:rPr>
          <w:sz w:val="24"/>
        </w:rPr>
        <w:t xml:space="preserve"> </w:t>
      </w:r>
      <w:hyperlink r:id="rId44">
        <w:r>
          <w:rPr>
            <w:sz w:val="24"/>
          </w:rPr>
          <w:t>artslaw/cels/essays/secondlanguage/DailySLAKeyMotivationalFactorsandHowTe</w:t>
        </w:r>
      </w:hyperlink>
      <w:r>
        <w:rPr>
          <w:sz w:val="24"/>
        </w:rPr>
        <w:t xml:space="preserve"> </w:t>
      </w:r>
      <w:hyperlink r:id="rId45">
        <w:r>
          <w:rPr>
            <w:sz w:val="24"/>
          </w:rPr>
          <w:t>achers.pdf</w:t>
        </w:r>
      </w:hyperlink>
      <w:r>
        <w:rPr>
          <w:sz w:val="24"/>
        </w:rPr>
        <w:t>)</w:t>
      </w:r>
    </w:p>
    <w:p w:rsidR="007A0FE6" w:rsidRDefault="005C2DF8">
      <w:pPr>
        <w:pStyle w:val="BodyText"/>
        <w:ind w:left="940"/>
        <w:jc w:val="both"/>
      </w:pPr>
      <w:r>
        <w:t>[13 May, 2016]</w:t>
      </w:r>
    </w:p>
    <w:p w:rsidR="007A0FE6" w:rsidRDefault="005C2DF8">
      <w:pPr>
        <w:ind w:left="940" w:right="217" w:hanging="720"/>
        <w:jc w:val="both"/>
        <w:rPr>
          <w:sz w:val="24"/>
        </w:rPr>
      </w:pPr>
      <w:proofErr w:type="spellStart"/>
      <w:proofErr w:type="gramStart"/>
      <w:r>
        <w:rPr>
          <w:sz w:val="24"/>
        </w:rPr>
        <w:t>Davier</w:t>
      </w:r>
      <w:proofErr w:type="spellEnd"/>
      <w:r>
        <w:rPr>
          <w:sz w:val="24"/>
        </w:rPr>
        <w:t xml:space="preserve">, A. A., </w:t>
      </w:r>
      <w:proofErr w:type="spellStart"/>
      <w:r>
        <w:rPr>
          <w:sz w:val="24"/>
        </w:rPr>
        <w:t>Carstensen</w:t>
      </w:r>
      <w:proofErr w:type="spellEnd"/>
      <w:r>
        <w:rPr>
          <w:sz w:val="24"/>
        </w:rPr>
        <w:t xml:space="preserve">, C. H., and </w:t>
      </w:r>
      <w:proofErr w:type="spellStart"/>
      <w:r>
        <w:rPr>
          <w:sz w:val="24"/>
        </w:rPr>
        <w:t>Davier</w:t>
      </w:r>
      <w:proofErr w:type="spellEnd"/>
      <w:r>
        <w:rPr>
          <w:sz w:val="24"/>
        </w:rPr>
        <w:t>, M. (2006).</w:t>
      </w:r>
      <w:proofErr w:type="gramEnd"/>
      <w:r>
        <w:rPr>
          <w:sz w:val="24"/>
        </w:rPr>
        <w:t xml:space="preserve"> </w:t>
      </w:r>
      <w:r>
        <w:rPr>
          <w:i/>
          <w:sz w:val="24"/>
        </w:rPr>
        <w:t>Linking competencies in educational settings and measuring growth</w:t>
      </w:r>
      <w:r>
        <w:rPr>
          <w:sz w:val="24"/>
        </w:rPr>
        <w:t>. Princeton, NJ: Educational Testing Services.</w:t>
      </w:r>
    </w:p>
    <w:p w:rsidR="007A0FE6" w:rsidRDefault="005C2DF8">
      <w:pPr>
        <w:ind w:left="940" w:right="219" w:hanging="720"/>
        <w:jc w:val="both"/>
        <w:rPr>
          <w:sz w:val="24"/>
        </w:rPr>
      </w:pPr>
      <w:r>
        <w:rPr>
          <w:sz w:val="24"/>
        </w:rPr>
        <w:t xml:space="preserve">Doff, A., </w:t>
      </w:r>
      <w:proofErr w:type="spellStart"/>
      <w:r>
        <w:rPr>
          <w:sz w:val="24"/>
        </w:rPr>
        <w:t>Stirling</w:t>
      </w:r>
      <w:proofErr w:type="spellEnd"/>
      <w:r>
        <w:rPr>
          <w:sz w:val="24"/>
        </w:rPr>
        <w:t xml:space="preserve">, J., &amp; </w:t>
      </w:r>
      <w:proofErr w:type="spellStart"/>
      <w:r>
        <w:rPr>
          <w:sz w:val="24"/>
        </w:rPr>
        <w:t>Ackroyd</w:t>
      </w:r>
      <w:proofErr w:type="spellEnd"/>
      <w:r>
        <w:rPr>
          <w:sz w:val="24"/>
        </w:rPr>
        <w:t xml:space="preserve">, S. (2013). </w:t>
      </w:r>
      <w:r>
        <w:rPr>
          <w:i/>
          <w:sz w:val="24"/>
        </w:rPr>
        <w:t xml:space="preserve">English unlimited advanced A and B teacher’s pack (Teacher’s book with DVD-ROM). </w:t>
      </w:r>
      <w:r>
        <w:rPr>
          <w:sz w:val="24"/>
        </w:rPr>
        <w:t>Cambridge: Cambridge University Press.</w:t>
      </w:r>
    </w:p>
    <w:p w:rsidR="007A0FE6" w:rsidRDefault="005C2DF8">
      <w:pPr>
        <w:pStyle w:val="BodyText"/>
        <w:spacing w:before="1"/>
        <w:ind w:left="940" w:right="121" w:hanging="720"/>
      </w:pPr>
      <w:proofErr w:type="gramStart"/>
      <w:r>
        <w:t>Edwards, E., &amp; Roger, P. S. (2015).</w:t>
      </w:r>
      <w:proofErr w:type="gramEnd"/>
      <w:r>
        <w:t xml:space="preserve"> </w:t>
      </w:r>
      <w:proofErr w:type="gramStart"/>
      <w:r>
        <w:t>Seeking out challenges to develop L2 self-</w:t>
      </w:r>
      <w:proofErr w:type="spellStart"/>
      <w:r>
        <w:t>cofidence</w:t>
      </w:r>
      <w:proofErr w:type="spellEnd"/>
      <w:r>
        <w:t xml:space="preserve">: A language </w:t>
      </w:r>
      <w:proofErr w:type="spellStart"/>
      <w:r>
        <w:t>learner’s</w:t>
      </w:r>
      <w:proofErr w:type="spellEnd"/>
      <w:r>
        <w:t xml:space="preserve"> journey to proficiency.</w:t>
      </w:r>
      <w:proofErr w:type="gramEnd"/>
      <w:r>
        <w:t xml:space="preserve"> </w:t>
      </w:r>
      <w:r>
        <w:rPr>
          <w:i/>
        </w:rPr>
        <w:t xml:space="preserve">TESL-EJ, 18(4), 1-24. </w:t>
      </w:r>
      <w:r>
        <w:t>(</w:t>
      </w:r>
      <w:hyperlink r:id="rId46">
        <w:r>
          <w:t>http://files.eric.ed.gov/fulltext/EJ1057316.pdf)</w:t>
        </w:r>
      </w:hyperlink>
    </w:p>
    <w:p w:rsidR="007A0FE6" w:rsidRDefault="005C2DF8">
      <w:pPr>
        <w:pStyle w:val="BodyText"/>
        <w:ind w:left="940" w:right="215" w:hanging="720"/>
        <w:jc w:val="both"/>
      </w:pPr>
      <w:r>
        <w:t xml:space="preserve">Field, J. (2008). Bricks or mortar: Which parts of the input does a second language listener rely on? </w:t>
      </w:r>
      <w:r>
        <w:rPr>
          <w:i/>
        </w:rPr>
        <w:t xml:space="preserve">TESOL Quarterly, 42(3), 411-432. </w:t>
      </w:r>
      <w:r>
        <w:t>DOI: 10.1002/j.1545- 7249.2008.tb00139.x</w:t>
      </w:r>
    </w:p>
    <w:p w:rsidR="007A0FE6" w:rsidRDefault="005C2DF8">
      <w:pPr>
        <w:ind w:left="940" w:right="219" w:hanging="720"/>
        <w:jc w:val="both"/>
        <w:rPr>
          <w:sz w:val="24"/>
        </w:rPr>
      </w:pPr>
      <w:proofErr w:type="spellStart"/>
      <w:r>
        <w:rPr>
          <w:sz w:val="24"/>
        </w:rPr>
        <w:t>Floyed</w:t>
      </w:r>
      <w:proofErr w:type="spellEnd"/>
      <w:r>
        <w:rPr>
          <w:sz w:val="24"/>
        </w:rPr>
        <w:t xml:space="preserve">, J. J. (1985). </w:t>
      </w:r>
      <w:proofErr w:type="gramStart"/>
      <w:r>
        <w:rPr>
          <w:i/>
          <w:sz w:val="24"/>
        </w:rPr>
        <w:t>Listening</w:t>
      </w:r>
      <w:proofErr w:type="gramEnd"/>
      <w:r>
        <w:rPr>
          <w:i/>
          <w:sz w:val="24"/>
        </w:rPr>
        <w:t xml:space="preserve"> a practical approach. </w:t>
      </w:r>
      <w:r>
        <w:rPr>
          <w:sz w:val="24"/>
        </w:rPr>
        <w:t xml:space="preserve">Glenview, IL: Scott, </w:t>
      </w:r>
      <w:proofErr w:type="spellStart"/>
      <w:r>
        <w:rPr>
          <w:sz w:val="24"/>
        </w:rPr>
        <w:t>Foreswan</w:t>
      </w:r>
      <w:proofErr w:type="spellEnd"/>
      <w:r>
        <w:rPr>
          <w:sz w:val="24"/>
        </w:rPr>
        <w:t xml:space="preserve"> and Company.</w:t>
      </w:r>
    </w:p>
    <w:p w:rsidR="007A0FE6" w:rsidRDefault="005C2DF8">
      <w:pPr>
        <w:ind w:left="940" w:right="215" w:hanging="720"/>
        <w:jc w:val="both"/>
        <w:rPr>
          <w:sz w:val="24"/>
        </w:rPr>
      </w:pPr>
      <w:proofErr w:type="spellStart"/>
      <w:r>
        <w:rPr>
          <w:sz w:val="24"/>
        </w:rPr>
        <w:t>Golafshani</w:t>
      </w:r>
      <w:proofErr w:type="spellEnd"/>
      <w:r>
        <w:rPr>
          <w:sz w:val="24"/>
        </w:rPr>
        <w:t xml:space="preserve">, N. (2003). </w:t>
      </w:r>
      <w:proofErr w:type="gramStart"/>
      <w:r>
        <w:rPr>
          <w:sz w:val="24"/>
        </w:rPr>
        <w:t>Understanding reliability and validity in qualitative research.</w:t>
      </w:r>
      <w:proofErr w:type="gramEnd"/>
      <w:r>
        <w:rPr>
          <w:sz w:val="24"/>
        </w:rPr>
        <w:t xml:space="preserve"> </w:t>
      </w:r>
      <w:r>
        <w:rPr>
          <w:i/>
          <w:sz w:val="24"/>
        </w:rPr>
        <w:t xml:space="preserve">The Qualitative Report, 8(4), 597-607. </w:t>
      </w:r>
      <w:hyperlink r:id="rId47">
        <w:r>
          <w:rPr>
            <w:sz w:val="24"/>
          </w:rPr>
          <w:t>(http://www.nova.edu/ssss/QR/QR8</w:t>
        </w:r>
      </w:hyperlink>
      <w:r>
        <w:rPr>
          <w:sz w:val="24"/>
        </w:rPr>
        <w:t>- 4/golafshani.pdf)</w:t>
      </w:r>
    </w:p>
    <w:p w:rsidR="007A0FE6" w:rsidRDefault="005C2DF8">
      <w:pPr>
        <w:spacing w:before="1"/>
        <w:ind w:left="940" w:right="216" w:hanging="720"/>
        <w:jc w:val="both"/>
        <w:rPr>
          <w:sz w:val="24"/>
        </w:rPr>
      </w:pPr>
      <w:r>
        <w:rPr>
          <w:sz w:val="24"/>
        </w:rPr>
        <w:t xml:space="preserve">Griffiths, C. (2008). </w:t>
      </w:r>
      <w:proofErr w:type="gramStart"/>
      <w:r>
        <w:rPr>
          <w:i/>
          <w:sz w:val="24"/>
        </w:rPr>
        <w:t>Lessons from good language learners</w:t>
      </w:r>
      <w:r>
        <w:rPr>
          <w:sz w:val="24"/>
        </w:rPr>
        <w:t>.</w:t>
      </w:r>
      <w:proofErr w:type="gramEnd"/>
      <w:r>
        <w:rPr>
          <w:sz w:val="24"/>
        </w:rPr>
        <w:t xml:space="preserve"> Cambridge: Cambridge University</w:t>
      </w:r>
      <w:r>
        <w:rPr>
          <w:spacing w:val="-5"/>
          <w:sz w:val="24"/>
        </w:rPr>
        <w:t xml:space="preserve"> </w:t>
      </w:r>
      <w:r>
        <w:rPr>
          <w:sz w:val="24"/>
        </w:rPr>
        <w:t>Press.</w:t>
      </w:r>
    </w:p>
    <w:p w:rsidR="007A0FE6" w:rsidRDefault="005C2DF8">
      <w:pPr>
        <w:ind w:left="940" w:right="218" w:hanging="720"/>
        <w:jc w:val="both"/>
        <w:rPr>
          <w:sz w:val="24"/>
        </w:rPr>
      </w:pPr>
      <w:proofErr w:type="spellStart"/>
      <w:r>
        <w:rPr>
          <w:sz w:val="24"/>
        </w:rPr>
        <w:t>Hasan</w:t>
      </w:r>
      <w:proofErr w:type="spellEnd"/>
      <w:r>
        <w:rPr>
          <w:sz w:val="24"/>
        </w:rPr>
        <w:t xml:space="preserve">, A. S. (2008). </w:t>
      </w:r>
      <w:proofErr w:type="gramStart"/>
      <w:r>
        <w:rPr>
          <w:sz w:val="24"/>
        </w:rPr>
        <w:t>Making input comprehensible for foreign language acquisition.</w:t>
      </w:r>
      <w:proofErr w:type="gramEnd"/>
      <w:r>
        <w:rPr>
          <w:sz w:val="24"/>
        </w:rPr>
        <w:t xml:space="preserve"> </w:t>
      </w:r>
      <w:r>
        <w:rPr>
          <w:i/>
          <w:sz w:val="24"/>
        </w:rPr>
        <w:t xml:space="preserve">Damascus University Journal, 24(2), 31-53. </w:t>
      </w:r>
      <w:r>
        <w:rPr>
          <w:sz w:val="24"/>
        </w:rPr>
        <w:t>(</w:t>
      </w:r>
      <w:proofErr w:type="gramStart"/>
      <w:r>
        <w:rPr>
          <w:sz w:val="24"/>
        </w:rPr>
        <w:t>http</w:t>
      </w:r>
      <w:proofErr w:type="gramEnd"/>
      <w:r>
        <w:rPr>
          <w:sz w:val="24"/>
        </w:rPr>
        <w:t>://www.damascusuniversity. edu.sy/</w:t>
      </w:r>
      <w:proofErr w:type="spellStart"/>
      <w:r>
        <w:rPr>
          <w:sz w:val="24"/>
        </w:rPr>
        <w:t>mag</w:t>
      </w:r>
      <w:proofErr w:type="spellEnd"/>
      <w:r>
        <w:rPr>
          <w:sz w:val="24"/>
        </w:rPr>
        <w:t>/</w:t>
      </w:r>
      <w:proofErr w:type="spellStart"/>
      <w:r>
        <w:rPr>
          <w:sz w:val="24"/>
        </w:rPr>
        <w:t>edu</w:t>
      </w:r>
      <w:proofErr w:type="spellEnd"/>
      <w:r>
        <w:rPr>
          <w:sz w:val="24"/>
        </w:rPr>
        <w:t>/images/stories/399000.pdf)</w:t>
      </w:r>
    </w:p>
    <w:p w:rsidR="007A0FE6" w:rsidRDefault="007A0FE6">
      <w:pPr>
        <w:jc w:val="both"/>
        <w:rPr>
          <w:sz w:val="24"/>
        </w:rPr>
        <w:sectPr w:rsidR="007A0FE6">
          <w:pgSz w:w="12240" w:h="15840"/>
          <w:pgMar w:top="1360" w:right="1580" w:bottom="1260" w:left="1580" w:header="0" w:footer="1061" w:gutter="0"/>
          <w:cols w:space="720"/>
        </w:sectPr>
      </w:pPr>
    </w:p>
    <w:p w:rsidR="007A0FE6" w:rsidRDefault="005C2DF8">
      <w:pPr>
        <w:spacing w:before="79"/>
        <w:ind w:left="940" w:right="216" w:hanging="720"/>
        <w:jc w:val="both"/>
        <w:rPr>
          <w:sz w:val="24"/>
        </w:rPr>
      </w:pPr>
      <w:proofErr w:type="spellStart"/>
      <w:r>
        <w:rPr>
          <w:sz w:val="24"/>
        </w:rPr>
        <w:t>Hornberger</w:t>
      </w:r>
      <w:proofErr w:type="spellEnd"/>
      <w:r>
        <w:rPr>
          <w:sz w:val="24"/>
        </w:rPr>
        <w:t xml:space="preserve">, N. H. (2003). </w:t>
      </w:r>
      <w:proofErr w:type="gramStart"/>
      <w:r>
        <w:rPr>
          <w:sz w:val="24"/>
        </w:rPr>
        <w:t xml:space="preserve">Continua of </w:t>
      </w:r>
      <w:proofErr w:type="spellStart"/>
      <w:r>
        <w:rPr>
          <w:sz w:val="24"/>
        </w:rPr>
        <w:t>biliteracy</w:t>
      </w:r>
      <w:proofErr w:type="spellEnd"/>
      <w:r>
        <w:rPr>
          <w:sz w:val="24"/>
        </w:rPr>
        <w:t>.</w:t>
      </w:r>
      <w:proofErr w:type="gramEnd"/>
      <w:r>
        <w:rPr>
          <w:sz w:val="24"/>
        </w:rPr>
        <w:t xml:space="preserve"> </w:t>
      </w:r>
      <w:r>
        <w:rPr>
          <w:spacing w:val="-3"/>
          <w:sz w:val="24"/>
        </w:rPr>
        <w:t xml:space="preserve">In </w:t>
      </w:r>
      <w:r>
        <w:rPr>
          <w:sz w:val="24"/>
        </w:rPr>
        <w:t xml:space="preserve">N. H. </w:t>
      </w:r>
      <w:proofErr w:type="spellStart"/>
      <w:r>
        <w:rPr>
          <w:sz w:val="24"/>
        </w:rPr>
        <w:t>Hornberger</w:t>
      </w:r>
      <w:proofErr w:type="spellEnd"/>
      <w:r>
        <w:rPr>
          <w:sz w:val="24"/>
        </w:rPr>
        <w:t xml:space="preserve"> (Eds.)</w:t>
      </w:r>
      <w:proofErr w:type="gramStart"/>
      <w:r>
        <w:rPr>
          <w:sz w:val="24"/>
        </w:rPr>
        <w:t xml:space="preserve">,  </w:t>
      </w:r>
      <w:r>
        <w:rPr>
          <w:i/>
          <w:sz w:val="24"/>
        </w:rPr>
        <w:t>Continua</w:t>
      </w:r>
      <w:proofErr w:type="gramEnd"/>
      <w:r>
        <w:rPr>
          <w:i/>
          <w:sz w:val="24"/>
        </w:rPr>
        <w:t xml:space="preserve"> of </w:t>
      </w:r>
      <w:proofErr w:type="spellStart"/>
      <w:r>
        <w:rPr>
          <w:i/>
          <w:sz w:val="24"/>
        </w:rPr>
        <w:t>biliteracy</w:t>
      </w:r>
      <w:proofErr w:type="spellEnd"/>
      <w:r>
        <w:rPr>
          <w:i/>
          <w:sz w:val="24"/>
        </w:rPr>
        <w:t xml:space="preserve">: An ecological framework for educational policy, research, and practice in multilingual settings </w:t>
      </w:r>
      <w:r>
        <w:rPr>
          <w:sz w:val="24"/>
        </w:rPr>
        <w:t xml:space="preserve">(pp. 3-34). </w:t>
      </w:r>
      <w:proofErr w:type="spellStart"/>
      <w:r>
        <w:rPr>
          <w:sz w:val="24"/>
        </w:rPr>
        <w:t>Clevedon</w:t>
      </w:r>
      <w:proofErr w:type="spellEnd"/>
      <w:r>
        <w:rPr>
          <w:sz w:val="24"/>
        </w:rPr>
        <w:t>: Multilingual</w:t>
      </w:r>
      <w:r>
        <w:rPr>
          <w:spacing w:val="-5"/>
          <w:sz w:val="24"/>
        </w:rPr>
        <w:t xml:space="preserve"> </w:t>
      </w:r>
      <w:r>
        <w:rPr>
          <w:sz w:val="24"/>
        </w:rPr>
        <w:t>Matters.</w:t>
      </w:r>
    </w:p>
    <w:p w:rsidR="007A0FE6" w:rsidRDefault="005C2DF8">
      <w:pPr>
        <w:ind w:left="940" w:right="215" w:hanging="720"/>
        <w:jc w:val="both"/>
        <w:rPr>
          <w:sz w:val="24"/>
        </w:rPr>
      </w:pPr>
      <w:proofErr w:type="spellStart"/>
      <w:r>
        <w:rPr>
          <w:sz w:val="24"/>
        </w:rPr>
        <w:t>Hunsaker</w:t>
      </w:r>
      <w:proofErr w:type="spellEnd"/>
      <w:r>
        <w:rPr>
          <w:sz w:val="24"/>
        </w:rPr>
        <w:t xml:space="preserve">, R. A. (1990). </w:t>
      </w:r>
      <w:r>
        <w:rPr>
          <w:i/>
          <w:sz w:val="24"/>
        </w:rPr>
        <w:t>Understanding and developing the skills of oral communication: Speaking end listening (2</w:t>
      </w:r>
      <w:r>
        <w:rPr>
          <w:i/>
          <w:sz w:val="24"/>
          <w:vertAlign w:val="superscript"/>
        </w:rPr>
        <w:t>nd</w:t>
      </w:r>
      <w:r>
        <w:rPr>
          <w:i/>
          <w:sz w:val="24"/>
        </w:rPr>
        <w:t xml:space="preserve"> Eds.), </w:t>
      </w:r>
      <w:r>
        <w:rPr>
          <w:sz w:val="24"/>
        </w:rPr>
        <w:t>Englewood, CO: J. Morton Press.</w:t>
      </w:r>
    </w:p>
    <w:p w:rsidR="007A0FE6" w:rsidRDefault="005C2DF8">
      <w:pPr>
        <w:pStyle w:val="BodyText"/>
        <w:ind w:left="940" w:right="217" w:hanging="720"/>
        <w:jc w:val="both"/>
      </w:pPr>
      <w:proofErr w:type="gramStart"/>
      <w:r>
        <w:t>IELTS, (2015).</w:t>
      </w:r>
      <w:proofErr w:type="gramEnd"/>
      <w:r>
        <w:t xml:space="preserve"> IELTS assessment criteria: Listening and reading tests, writing and speaking tests. Retrieved from, (</w:t>
      </w:r>
      <w:hyperlink r:id="rId48">
        <w:r>
          <w:t>http://takeielts.britishcouncil.org/find-out-about-</w:t>
        </w:r>
      </w:hyperlink>
      <w:r>
        <w:t xml:space="preserve"> </w:t>
      </w:r>
      <w:hyperlink r:id="rId49">
        <w:r>
          <w:t>results/</w:t>
        </w:r>
        <w:proofErr w:type="spellStart"/>
        <w:r>
          <w:t>ielts</w:t>
        </w:r>
        <w:proofErr w:type="spellEnd"/>
        <w:r>
          <w:t>-assessment-criteria</w:t>
        </w:r>
      </w:hyperlink>
      <w:r>
        <w:t>)</w:t>
      </w:r>
    </w:p>
    <w:p w:rsidR="007A0FE6" w:rsidRDefault="005C2DF8">
      <w:pPr>
        <w:pStyle w:val="BodyText"/>
        <w:ind w:left="940"/>
        <w:jc w:val="both"/>
      </w:pPr>
      <w:r>
        <w:t>[15 May, 2016]</w:t>
      </w:r>
    </w:p>
    <w:p w:rsidR="007A0FE6" w:rsidRDefault="005C2DF8">
      <w:pPr>
        <w:pStyle w:val="BodyText"/>
        <w:ind w:left="940" w:right="217" w:hanging="720"/>
        <w:jc w:val="both"/>
      </w:pPr>
      <w:proofErr w:type="gramStart"/>
      <w:r>
        <w:t>IELTS, (2016).</w:t>
      </w:r>
      <w:proofErr w:type="gramEnd"/>
      <w:r>
        <w:t xml:space="preserve"> </w:t>
      </w:r>
      <w:proofErr w:type="gramStart"/>
      <w:r>
        <w:t>IELTS scoring in detail.</w:t>
      </w:r>
      <w:proofErr w:type="gramEnd"/>
      <w:r>
        <w:t xml:space="preserve"> Retrieved from, (</w:t>
      </w:r>
      <w:hyperlink r:id="rId50">
        <w:r>
          <w:t>https://www.ielts.org/ielts-for-</w:t>
        </w:r>
      </w:hyperlink>
      <w:r>
        <w:t xml:space="preserve"> </w:t>
      </w:r>
      <w:hyperlink r:id="rId51">
        <w:proofErr w:type="spellStart"/>
        <w:r>
          <w:t>organisations</w:t>
        </w:r>
        <w:proofErr w:type="spellEnd"/>
        <w:r>
          <w:t>/</w:t>
        </w:r>
        <w:proofErr w:type="spellStart"/>
        <w:r>
          <w:t>ielts</w:t>
        </w:r>
        <w:proofErr w:type="spellEnd"/>
        <w:r>
          <w:t>-scoring-in-detail</w:t>
        </w:r>
      </w:hyperlink>
      <w:r>
        <w:t>).</w:t>
      </w:r>
    </w:p>
    <w:p w:rsidR="007A0FE6" w:rsidRDefault="005C2DF8">
      <w:pPr>
        <w:pStyle w:val="BodyText"/>
        <w:ind w:left="940"/>
        <w:jc w:val="both"/>
      </w:pPr>
      <w:r>
        <w:t>[15 may, 2016]</w:t>
      </w:r>
    </w:p>
    <w:p w:rsidR="007A0FE6" w:rsidRDefault="005C2DF8">
      <w:pPr>
        <w:spacing w:before="1"/>
        <w:ind w:left="940" w:right="218" w:hanging="720"/>
        <w:jc w:val="both"/>
        <w:rPr>
          <w:sz w:val="24"/>
        </w:rPr>
      </w:pPr>
      <w:proofErr w:type="gramStart"/>
      <w:r>
        <w:rPr>
          <w:sz w:val="24"/>
        </w:rPr>
        <w:t xml:space="preserve">Ingram, D., &amp; </w:t>
      </w:r>
      <w:proofErr w:type="spellStart"/>
      <w:r>
        <w:rPr>
          <w:sz w:val="24"/>
        </w:rPr>
        <w:t>Bayliss</w:t>
      </w:r>
      <w:proofErr w:type="spellEnd"/>
      <w:r>
        <w:rPr>
          <w:sz w:val="24"/>
        </w:rPr>
        <w:t>, A. (2007).</w:t>
      </w:r>
      <w:proofErr w:type="gramEnd"/>
      <w:r>
        <w:rPr>
          <w:sz w:val="24"/>
        </w:rPr>
        <w:t xml:space="preserve"> </w:t>
      </w:r>
      <w:proofErr w:type="gramStart"/>
      <w:r>
        <w:rPr>
          <w:i/>
          <w:sz w:val="24"/>
        </w:rPr>
        <w:t>IELTS as a predictor of academic language performance, Part 1 (IELTS Research Reports 7).</w:t>
      </w:r>
      <w:proofErr w:type="gramEnd"/>
      <w:r>
        <w:rPr>
          <w:i/>
          <w:sz w:val="24"/>
        </w:rPr>
        <w:t xml:space="preserve"> </w:t>
      </w:r>
      <w:r>
        <w:rPr>
          <w:sz w:val="24"/>
        </w:rPr>
        <w:t>London: British Council.</w:t>
      </w:r>
    </w:p>
    <w:p w:rsidR="007A0FE6" w:rsidRDefault="005C2DF8">
      <w:pPr>
        <w:pStyle w:val="BodyText"/>
        <w:ind w:left="940" w:right="220" w:hanging="720"/>
        <w:jc w:val="both"/>
      </w:pPr>
      <w:r>
        <w:t xml:space="preserve">James, C. J. (1985). The testing of proficiency in listening comprehension: Guiding for teaching. </w:t>
      </w:r>
      <w:proofErr w:type="gramStart"/>
      <w:r>
        <w:t>In a meeting the call for excellence in the foreign language classroom and selected papers from the Central States Conference on the Teaching of Foreign Language.</w:t>
      </w:r>
      <w:proofErr w:type="gramEnd"/>
    </w:p>
    <w:p w:rsidR="007A0FE6" w:rsidRDefault="005C2DF8">
      <w:pPr>
        <w:ind w:left="940" w:right="217" w:hanging="720"/>
        <w:jc w:val="both"/>
        <w:rPr>
          <w:sz w:val="24"/>
        </w:rPr>
      </w:pPr>
      <w:proofErr w:type="gramStart"/>
      <w:r>
        <w:rPr>
          <w:sz w:val="24"/>
        </w:rPr>
        <w:t xml:space="preserve">Jones, S. R., Torres, V., &amp; </w:t>
      </w:r>
      <w:proofErr w:type="spellStart"/>
      <w:r>
        <w:rPr>
          <w:sz w:val="24"/>
        </w:rPr>
        <w:t>Arminio</w:t>
      </w:r>
      <w:proofErr w:type="spellEnd"/>
      <w:r>
        <w:rPr>
          <w:sz w:val="24"/>
        </w:rPr>
        <w:t>, J. L. (2006).</w:t>
      </w:r>
      <w:proofErr w:type="gramEnd"/>
      <w:r>
        <w:rPr>
          <w:sz w:val="24"/>
        </w:rPr>
        <w:t xml:space="preserve"> </w:t>
      </w:r>
      <w:proofErr w:type="gramStart"/>
      <w:r>
        <w:rPr>
          <w:i/>
          <w:sz w:val="24"/>
        </w:rPr>
        <w:t>Negotiating the complexities of qualitative research in higher education: Fundamental elements and issues</w:t>
      </w:r>
      <w:r>
        <w:rPr>
          <w:sz w:val="24"/>
        </w:rPr>
        <w:t>.</w:t>
      </w:r>
      <w:proofErr w:type="gramEnd"/>
      <w:r>
        <w:rPr>
          <w:sz w:val="24"/>
        </w:rPr>
        <w:t xml:space="preserve"> New York, NY: </w:t>
      </w:r>
      <w:proofErr w:type="spellStart"/>
      <w:r>
        <w:rPr>
          <w:sz w:val="24"/>
        </w:rPr>
        <w:t>Routledge</w:t>
      </w:r>
      <w:proofErr w:type="spellEnd"/>
      <w:r>
        <w:rPr>
          <w:sz w:val="24"/>
        </w:rPr>
        <w:t>.</w:t>
      </w:r>
    </w:p>
    <w:p w:rsidR="007A0FE6" w:rsidRDefault="005C2DF8">
      <w:pPr>
        <w:ind w:left="940" w:right="568" w:hanging="720"/>
        <w:rPr>
          <w:sz w:val="24"/>
        </w:rPr>
      </w:pPr>
      <w:r>
        <w:rPr>
          <w:sz w:val="24"/>
        </w:rPr>
        <w:t xml:space="preserve">King, J. (2016). Classroom silence and the dynamic interplay between context and the language learner: A stimulated Recall study. </w:t>
      </w:r>
      <w:proofErr w:type="gramStart"/>
      <w:r>
        <w:rPr>
          <w:sz w:val="24"/>
        </w:rPr>
        <w:t>In J. Kim.</w:t>
      </w:r>
      <w:proofErr w:type="gramEnd"/>
      <w:r>
        <w:rPr>
          <w:sz w:val="24"/>
        </w:rPr>
        <w:t xml:space="preserve"> (Ed.), </w:t>
      </w:r>
      <w:proofErr w:type="gramStart"/>
      <w:r>
        <w:rPr>
          <w:i/>
          <w:sz w:val="24"/>
        </w:rPr>
        <w:t>The</w:t>
      </w:r>
      <w:proofErr w:type="gramEnd"/>
      <w:r>
        <w:rPr>
          <w:i/>
          <w:sz w:val="24"/>
        </w:rPr>
        <w:t xml:space="preserve"> dynamic interplay between context and language leaner </w:t>
      </w:r>
      <w:r>
        <w:rPr>
          <w:sz w:val="24"/>
        </w:rPr>
        <w:t>(pp. 127-150). Hampshire: Palgrave Macmillan.</w:t>
      </w:r>
    </w:p>
    <w:p w:rsidR="007A0FE6" w:rsidRDefault="005C2DF8">
      <w:pPr>
        <w:ind w:left="940" w:right="428" w:hanging="720"/>
        <w:rPr>
          <w:sz w:val="24"/>
        </w:rPr>
      </w:pPr>
      <w:proofErr w:type="spellStart"/>
      <w:r>
        <w:rPr>
          <w:sz w:val="24"/>
        </w:rPr>
        <w:t>Krashen</w:t>
      </w:r>
      <w:proofErr w:type="spellEnd"/>
      <w:r>
        <w:rPr>
          <w:sz w:val="24"/>
        </w:rPr>
        <w:t xml:space="preserve">, S. D. (1982). </w:t>
      </w:r>
      <w:r>
        <w:rPr>
          <w:i/>
          <w:sz w:val="24"/>
        </w:rPr>
        <w:t>Principles and practice in second language acquisition</w:t>
      </w:r>
      <w:r>
        <w:rPr>
          <w:sz w:val="24"/>
        </w:rPr>
        <w:t xml:space="preserve">. Oxford: </w:t>
      </w:r>
      <w:proofErr w:type="spellStart"/>
      <w:r>
        <w:rPr>
          <w:sz w:val="24"/>
        </w:rPr>
        <w:t>Pergamon</w:t>
      </w:r>
      <w:proofErr w:type="spellEnd"/>
      <w:r>
        <w:rPr>
          <w:sz w:val="24"/>
        </w:rPr>
        <w:t>.</w:t>
      </w:r>
    </w:p>
    <w:p w:rsidR="007A0FE6" w:rsidRDefault="005C2DF8">
      <w:pPr>
        <w:spacing w:before="1"/>
        <w:ind w:left="940" w:hanging="720"/>
        <w:rPr>
          <w:sz w:val="24"/>
        </w:rPr>
      </w:pPr>
      <w:proofErr w:type="spellStart"/>
      <w:r>
        <w:rPr>
          <w:sz w:val="24"/>
        </w:rPr>
        <w:t>Krashen</w:t>
      </w:r>
      <w:proofErr w:type="spellEnd"/>
      <w:r>
        <w:rPr>
          <w:sz w:val="24"/>
        </w:rPr>
        <w:t xml:space="preserve">, S. D. (1992). </w:t>
      </w:r>
      <w:proofErr w:type="gramStart"/>
      <w:r>
        <w:rPr>
          <w:i/>
          <w:sz w:val="24"/>
        </w:rPr>
        <w:t>Fundamentals of language education</w:t>
      </w:r>
      <w:r>
        <w:rPr>
          <w:sz w:val="24"/>
        </w:rPr>
        <w:t>.</w:t>
      </w:r>
      <w:proofErr w:type="gramEnd"/>
      <w:r>
        <w:rPr>
          <w:sz w:val="24"/>
        </w:rPr>
        <w:t xml:space="preserve"> Torrance, CA: Laredo Publication Company.</w:t>
      </w:r>
    </w:p>
    <w:p w:rsidR="007A0FE6" w:rsidRDefault="005C2DF8">
      <w:pPr>
        <w:ind w:left="220"/>
        <w:rPr>
          <w:sz w:val="24"/>
        </w:rPr>
      </w:pPr>
      <w:r>
        <w:rPr>
          <w:sz w:val="24"/>
        </w:rPr>
        <w:t>Lin</w:t>
      </w:r>
      <w:r>
        <w:rPr>
          <w:b/>
          <w:sz w:val="24"/>
        </w:rPr>
        <w:t xml:space="preserve">, </w:t>
      </w:r>
      <w:r>
        <w:rPr>
          <w:sz w:val="24"/>
        </w:rPr>
        <w:t>H</w:t>
      </w:r>
      <w:r>
        <w:rPr>
          <w:b/>
          <w:sz w:val="24"/>
        </w:rPr>
        <w:t>. (</w:t>
      </w:r>
      <w:r>
        <w:rPr>
          <w:sz w:val="24"/>
        </w:rPr>
        <w:t>2001</w:t>
      </w:r>
      <w:r>
        <w:rPr>
          <w:b/>
          <w:sz w:val="24"/>
        </w:rPr>
        <w:t xml:space="preserve">). </w:t>
      </w:r>
      <w:r>
        <w:rPr>
          <w:i/>
          <w:sz w:val="24"/>
        </w:rPr>
        <w:t>A grammar of Mandarin Chinese</w:t>
      </w:r>
      <w:r>
        <w:rPr>
          <w:sz w:val="24"/>
        </w:rPr>
        <w:t xml:space="preserve">. </w:t>
      </w:r>
      <w:proofErr w:type="spellStart"/>
      <w:r>
        <w:rPr>
          <w:sz w:val="24"/>
        </w:rPr>
        <w:t>Muenchen</w:t>
      </w:r>
      <w:proofErr w:type="spellEnd"/>
      <w:r>
        <w:rPr>
          <w:sz w:val="24"/>
        </w:rPr>
        <w:t xml:space="preserve">: </w:t>
      </w:r>
      <w:proofErr w:type="spellStart"/>
      <w:r>
        <w:rPr>
          <w:sz w:val="24"/>
        </w:rPr>
        <w:t>Lincom</w:t>
      </w:r>
      <w:proofErr w:type="spellEnd"/>
      <w:r>
        <w:rPr>
          <w:sz w:val="24"/>
        </w:rPr>
        <w:t xml:space="preserve"> </w:t>
      </w:r>
      <w:proofErr w:type="spellStart"/>
      <w:r>
        <w:rPr>
          <w:sz w:val="24"/>
        </w:rPr>
        <w:t>Europa</w:t>
      </w:r>
      <w:proofErr w:type="spellEnd"/>
      <w:r>
        <w:rPr>
          <w:sz w:val="24"/>
        </w:rPr>
        <w:t>.</w:t>
      </w:r>
    </w:p>
    <w:p w:rsidR="007A0FE6" w:rsidRDefault="005C2DF8">
      <w:pPr>
        <w:ind w:left="940" w:right="214" w:hanging="720"/>
        <w:jc w:val="both"/>
        <w:rPr>
          <w:sz w:val="24"/>
        </w:rPr>
      </w:pPr>
      <w:r>
        <w:rPr>
          <w:sz w:val="24"/>
        </w:rPr>
        <w:t xml:space="preserve">Long, M. (1996). </w:t>
      </w:r>
      <w:proofErr w:type="gramStart"/>
      <w:r>
        <w:rPr>
          <w:sz w:val="24"/>
        </w:rPr>
        <w:t>The role of the linguistic environment in second language acquisition.</w:t>
      </w:r>
      <w:proofErr w:type="gramEnd"/>
      <w:r>
        <w:rPr>
          <w:sz w:val="24"/>
        </w:rPr>
        <w:t xml:space="preserve"> </w:t>
      </w:r>
      <w:proofErr w:type="gramStart"/>
      <w:r>
        <w:rPr>
          <w:sz w:val="24"/>
        </w:rPr>
        <w:t>In W. C. Ritchie., &amp; T. K. Bhatia.</w:t>
      </w:r>
      <w:proofErr w:type="gramEnd"/>
      <w:r>
        <w:rPr>
          <w:sz w:val="24"/>
        </w:rPr>
        <w:t xml:space="preserve"> (Eds.), </w:t>
      </w:r>
      <w:r>
        <w:rPr>
          <w:i/>
          <w:sz w:val="24"/>
        </w:rPr>
        <w:t xml:space="preserve">Handbook of second language acquisition. Vol. 2: Second language acquisition </w:t>
      </w:r>
      <w:r>
        <w:rPr>
          <w:sz w:val="24"/>
        </w:rPr>
        <w:t>(pp. 413-458). New York, NY: Academic</w:t>
      </w:r>
      <w:r>
        <w:rPr>
          <w:spacing w:val="-2"/>
          <w:sz w:val="24"/>
        </w:rPr>
        <w:t xml:space="preserve"> </w:t>
      </w:r>
      <w:r>
        <w:rPr>
          <w:sz w:val="24"/>
        </w:rPr>
        <w:t>Press.</w:t>
      </w:r>
    </w:p>
    <w:p w:rsidR="007A0FE6" w:rsidRDefault="005C2DF8">
      <w:pPr>
        <w:ind w:left="940" w:right="217" w:hanging="720"/>
        <w:jc w:val="both"/>
        <w:rPr>
          <w:sz w:val="24"/>
        </w:rPr>
      </w:pPr>
      <w:proofErr w:type="spellStart"/>
      <w:r>
        <w:rPr>
          <w:sz w:val="24"/>
        </w:rPr>
        <w:t>McCaulley</w:t>
      </w:r>
      <w:proofErr w:type="spellEnd"/>
      <w:r>
        <w:rPr>
          <w:sz w:val="24"/>
        </w:rPr>
        <w:t xml:space="preserve">, R. J. (1992). </w:t>
      </w:r>
      <w:r>
        <w:rPr>
          <w:i/>
          <w:sz w:val="24"/>
        </w:rPr>
        <w:t>The effects of a semester long listening skills program on listening comprehension and reading comprehension</w:t>
      </w:r>
      <w:r>
        <w:rPr>
          <w:sz w:val="24"/>
        </w:rPr>
        <w:t xml:space="preserve">. </w:t>
      </w:r>
      <w:proofErr w:type="gramStart"/>
      <w:r>
        <w:rPr>
          <w:sz w:val="24"/>
        </w:rPr>
        <w:t>A Doctoral Dissertation from University of South Dakota, USA.</w:t>
      </w:r>
      <w:proofErr w:type="gramEnd"/>
      <w:r>
        <w:rPr>
          <w:sz w:val="24"/>
        </w:rPr>
        <w:t xml:space="preserve"> </w:t>
      </w:r>
      <w:proofErr w:type="gramStart"/>
      <w:r>
        <w:rPr>
          <w:sz w:val="24"/>
        </w:rPr>
        <w:t xml:space="preserve">Retrieved from </w:t>
      </w:r>
      <w:proofErr w:type="spellStart"/>
      <w:r>
        <w:rPr>
          <w:sz w:val="24"/>
        </w:rPr>
        <w:t>ProQuest</w:t>
      </w:r>
      <w:proofErr w:type="spellEnd"/>
      <w:r>
        <w:rPr>
          <w:sz w:val="24"/>
        </w:rPr>
        <w:t xml:space="preserve"> Digital Dissertation.</w:t>
      </w:r>
      <w:proofErr w:type="gramEnd"/>
    </w:p>
    <w:p w:rsidR="007A0FE6" w:rsidRDefault="005C2DF8">
      <w:pPr>
        <w:spacing w:before="1"/>
        <w:ind w:left="940" w:right="219" w:hanging="660"/>
        <w:jc w:val="both"/>
        <w:rPr>
          <w:sz w:val="24"/>
        </w:rPr>
      </w:pPr>
      <w:proofErr w:type="spellStart"/>
      <w:proofErr w:type="gramStart"/>
      <w:r>
        <w:rPr>
          <w:sz w:val="24"/>
        </w:rPr>
        <w:t>McCardle</w:t>
      </w:r>
      <w:proofErr w:type="spellEnd"/>
      <w:r>
        <w:rPr>
          <w:sz w:val="24"/>
        </w:rPr>
        <w:t xml:space="preserve">, P., &amp; </w:t>
      </w:r>
      <w:proofErr w:type="spellStart"/>
      <w:r>
        <w:rPr>
          <w:sz w:val="24"/>
        </w:rPr>
        <w:t>Chhabra</w:t>
      </w:r>
      <w:proofErr w:type="spellEnd"/>
      <w:r>
        <w:rPr>
          <w:sz w:val="24"/>
        </w:rPr>
        <w:t>, V. (2004).</w:t>
      </w:r>
      <w:proofErr w:type="gramEnd"/>
      <w:r>
        <w:rPr>
          <w:sz w:val="24"/>
        </w:rPr>
        <w:t xml:space="preserve"> The accumulation of evidence: A continuing process. </w:t>
      </w:r>
      <w:proofErr w:type="gramStart"/>
      <w:r>
        <w:rPr>
          <w:sz w:val="24"/>
        </w:rPr>
        <w:t xml:space="preserve">In P. </w:t>
      </w:r>
      <w:proofErr w:type="spellStart"/>
      <w:r>
        <w:rPr>
          <w:sz w:val="24"/>
        </w:rPr>
        <w:t>McCardle</w:t>
      </w:r>
      <w:proofErr w:type="spellEnd"/>
      <w:r>
        <w:rPr>
          <w:sz w:val="24"/>
        </w:rPr>
        <w:t xml:space="preserve"> &amp; V. </w:t>
      </w:r>
      <w:proofErr w:type="spellStart"/>
      <w:r>
        <w:rPr>
          <w:sz w:val="24"/>
        </w:rPr>
        <w:t>Chhabra</w:t>
      </w:r>
      <w:proofErr w:type="spellEnd"/>
      <w:r>
        <w:rPr>
          <w:sz w:val="24"/>
        </w:rPr>
        <w:t>.</w:t>
      </w:r>
      <w:proofErr w:type="gramEnd"/>
      <w:r>
        <w:rPr>
          <w:sz w:val="24"/>
        </w:rPr>
        <w:t xml:space="preserve"> (Eds.), </w:t>
      </w:r>
      <w:proofErr w:type="gramStart"/>
      <w:r>
        <w:rPr>
          <w:i/>
          <w:sz w:val="24"/>
        </w:rPr>
        <w:t>The</w:t>
      </w:r>
      <w:proofErr w:type="gramEnd"/>
      <w:r>
        <w:rPr>
          <w:i/>
          <w:sz w:val="24"/>
        </w:rPr>
        <w:t xml:space="preserve"> voice of evidence in reading research </w:t>
      </w:r>
      <w:r>
        <w:rPr>
          <w:sz w:val="24"/>
        </w:rPr>
        <w:t>(pp. 463-478)</w:t>
      </w:r>
      <w:r>
        <w:rPr>
          <w:i/>
          <w:sz w:val="24"/>
        </w:rPr>
        <w:t xml:space="preserve">. </w:t>
      </w:r>
      <w:r>
        <w:rPr>
          <w:sz w:val="24"/>
        </w:rPr>
        <w:t>York, PA: The Maple Press Co.</w:t>
      </w:r>
    </w:p>
    <w:p w:rsidR="007A0FE6" w:rsidRDefault="005C2DF8">
      <w:pPr>
        <w:ind w:left="940" w:right="219" w:hanging="720"/>
        <w:jc w:val="both"/>
        <w:rPr>
          <w:sz w:val="24"/>
        </w:rPr>
      </w:pPr>
      <w:proofErr w:type="spellStart"/>
      <w:r>
        <w:rPr>
          <w:sz w:val="24"/>
        </w:rPr>
        <w:t>Merbaum</w:t>
      </w:r>
      <w:proofErr w:type="spellEnd"/>
      <w:r>
        <w:rPr>
          <w:sz w:val="24"/>
        </w:rPr>
        <w:t xml:space="preserve">, C. (1998). </w:t>
      </w:r>
      <w:proofErr w:type="gramStart"/>
      <w:r>
        <w:rPr>
          <w:i/>
          <w:sz w:val="24"/>
        </w:rPr>
        <w:t>The relationship between listening and reading comprehension in first grade English L1 and L2 students</w:t>
      </w:r>
      <w:r>
        <w:rPr>
          <w:sz w:val="24"/>
        </w:rPr>
        <w:t>.</w:t>
      </w:r>
      <w:proofErr w:type="gramEnd"/>
      <w:r>
        <w:rPr>
          <w:sz w:val="24"/>
        </w:rPr>
        <w:t xml:space="preserve"> Retrieved from </w:t>
      </w:r>
      <w:proofErr w:type="spellStart"/>
      <w:r>
        <w:rPr>
          <w:sz w:val="24"/>
        </w:rPr>
        <w:t>ProQuest</w:t>
      </w:r>
      <w:proofErr w:type="spellEnd"/>
      <w:r>
        <w:rPr>
          <w:sz w:val="24"/>
        </w:rPr>
        <w:t xml:space="preserve"> Digital Dissertation (UMI Number</w:t>
      </w:r>
      <w:proofErr w:type="gramStart"/>
      <w:r>
        <w:rPr>
          <w:sz w:val="24"/>
        </w:rPr>
        <w:t>:0612339319</w:t>
      </w:r>
      <w:proofErr w:type="gramEnd"/>
      <w:r>
        <w:rPr>
          <w:sz w:val="24"/>
        </w:rPr>
        <w:t>).</w:t>
      </w:r>
    </w:p>
    <w:p w:rsidR="007A0FE6" w:rsidRDefault="005C2DF8">
      <w:pPr>
        <w:ind w:left="940" w:right="215" w:hanging="720"/>
        <w:jc w:val="both"/>
        <w:rPr>
          <w:sz w:val="24"/>
        </w:rPr>
      </w:pPr>
      <w:proofErr w:type="gramStart"/>
      <w:r>
        <w:rPr>
          <w:sz w:val="24"/>
        </w:rPr>
        <w:t>Nation, I. S. P., &amp; Newton, J. (2009).</w:t>
      </w:r>
      <w:proofErr w:type="gramEnd"/>
      <w:r>
        <w:rPr>
          <w:sz w:val="24"/>
        </w:rPr>
        <w:t xml:space="preserve"> </w:t>
      </w:r>
      <w:proofErr w:type="gramStart"/>
      <w:r>
        <w:rPr>
          <w:i/>
          <w:sz w:val="24"/>
        </w:rPr>
        <w:t>Teaching ESL/EFL listening and speaking.</w:t>
      </w:r>
      <w:proofErr w:type="gramEnd"/>
      <w:r>
        <w:rPr>
          <w:i/>
          <w:sz w:val="24"/>
        </w:rPr>
        <w:t xml:space="preserve"> </w:t>
      </w:r>
      <w:r>
        <w:rPr>
          <w:sz w:val="24"/>
        </w:rPr>
        <w:t xml:space="preserve">New York, NY: </w:t>
      </w:r>
      <w:proofErr w:type="spellStart"/>
      <w:r>
        <w:rPr>
          <w:sz w:val="24"/>
        </w:rPr>
        <w:t>Routledge</w:t>
      </w:r>
      <w:proofErr w:type="spellEnd"/>
      <w:r>
        <w:rPr>
          <w:sz w:val="24"/>
        </w:rPr>
        <w:t>.</w:t>
      </w:r>
    </w:p>
    <w:p w:rsidR="007A0FE6" w:rsidRDefault="007A0FE6">
      <w:pPr>
        <w:jc w:val="both"/>
        <w:rPr>
          <w:sz w:val="24"/>
        </w:rPr>
        <w:sectPr w:rsidR="007A0FE6">
          <w:pgSz w:w="12240" w:h="15840"/>
          <w:pgMar w:top="1360" w:right="1580" w:bottom="1260" w:left="1580" w:header="0" w:footer="1061" w:gutter="0"/>
          <w:cols w:space="720"/>
        </w:sectPr>
      </w:pPr>
    </w:p>
    <w:p w:rsidR="007A0FE6" w:rsidRDefault="005C2DF8">
      <w:pPr>
        <w:spacing w:before="79"/>
        <w:ind w:left="940" w:right="121" w:hanging="720"/>
        <w:rPr>
          <w:sz w:val="24"/>
        </w:rPr>
      </w:pPr>
      <w:proofErr w:type="spellStart"/>
      <w:r>
        <w:rPr>
          <w:sz w:val="24"/>
        </w:rPr>
        <w:t>Osada</w:t>
      </w:r>
      <w:proofErr w:type="spellEnd"/>
      <w:r>
        <w:rPr>
          <w:sz w:val="24"/>
        </w:rPr>
        <w:t xml:space="preserve">, N. (2004). </w:t>
      </w:r>
      <w:r>
        <w:rPr>
          <w:i/>
          <w:sz w:val="24"/>
        </w:rPr>
        <w:t xml:space="preserve">Listening comprehension research: A brief review of the last thirty years. </w:t>
      </w:r>
      <w:r>
        <w:rPr>
          <w:sz w:val="24"/>
        </w:rPr>
        <w:t>2004 TALK, Japan.</w:t>
      </w:r>
    </w:p>
    <w:p w:rsidR="007A0FE6" w:rsidRDefault="00D955F1">
      <w:pPr>
        <w:pStyle w:val="BodyText"/>
        <w:ind w:left="940"/>
      </w:pPr>
      <w:hyperlink r:id="rId52">
        <w:r w:rsidR="005C2DF8">
          <w:t>(http://talk</w:t>
        </w:r>
      </w:hyperlink>
      <w:r w:rsidR="005C2DF8">
        <w:t>-</w:t>
      </w:r>
      <w:hyperlink r:id="rId53">
        <w:r w:rsidR="005C2DF8">
          <w:t>waseda.net/dialogue/no03_2004/2004dialogue03_k4.pdf)</w:t>
        </w:r>
      </w:hyperlink>
    </w:p>
    <w:p w:rsidR="007A0FE6" w:rsidRDefault="005C2DF8">
      <w:pPr>
        <w:ind w:left="940" w:right="218" w:hanging="720"/>
        <w:jc w:val="both"/>
        <w:rPr>
          <w:sz w:val="24"/>
        </w:rPr>
      </w:pPr>
      <w:proofErr w:type="gramStart"/>
      <w:r>
        <w:rPr>
          <w:sz w:val="24"/>
        </w:rPr>
        <w:t>Park, Yong-</w:t>
      </w:r>
      <w:proofErr w:type="spellStart"/>
      <w:r>
        <w:rPr>
          <w:sz w:val="24"/>
        </w:rPr>
        <w:t>Hyo</w:t>
      </w:r>
      <w:proofErr w:type="spellEnd"/>
      <w:r>
        <w:rPr>
          <w:sz w:val="24"/>
        </w:rPr>
        <w:t>.</w:t>
      </w:r>
      <w:proofErr w:type="gramEnd"/>
      <w:r>
        <w:rPr>
          <w:sz w:val="24"/>
        </w:rPr>
        <w:t xml:space="preserve"> (2006). </w:t>
      </w:r>
      <w:proofErr w:type="gramStart"/>
      <w:r>
        <w:rPr>
          <w:i/>
          <w:sz w:val="24"/>
        </w:rPr>
        <w:t>The</w:t>
      </w:r>
      <w:proofErr w:type="gramEnd"/>
      <w:r>
        <w:rPr>
          <w:i/>
          <w:sz w:val="24"/>
        </w:rPr>
        <w:t xml:space="preserve"> relationship between reading proficiency and listening proficiency of ESL students</w:t>
      </w:r>
      <w:r>
        <w:rPr>
          <w:sz w:val="24"/>
        </w:rPr>
        <w:t xml:space="preserve">. </w:t>
      </w:r>
      <w:proofErr w:type="gramStart"/>
      <w:r>
        <w:rPr>
          <w:sz w:val="24"/>
        </w:rPr>
        <w:t>A Doctoral Dissertation from University of Kansas, USA.</w:t>
      </w:r>
      <w:proofErr w:type="gramEnd"/>
      <w:r>
        <w:rPr>
          <w:sz w:val="24"/>
        </w:rPr>
        <w:t xml:space="preserve"> </w:t>
      </w:r>
      <w:proofErr w:type="gramStart"/>
      <w:r>
        <w:rPr>
          <w:sz w:val="24"/>
        </w:rPr>
        <w:t xml:space="preserve">Retrieved from </w:t>
      </w:r>
      <w:proofErr w:type="spellStart"/>
      <w:r>
        <w:rPr>
          <w:sz w:val="24"/>
        </w:rPr>
        <w:t>ProQuest</w:t>
      </w:r>
      <w:proofErr w:type="spellEnd"/>
      <w:r>
        <w:rPr>
          <w:sz w:val="24"/>
        </w:rPr>
        <w:t xml:space="preserve"> Digital Dissertation.</w:t>
      </w:r>
      <w:proofErr w:type="gramEnd"/>
      <w:r>
        <w:rPr>
          <w:sz w:val="24"/>
        </w:rPr>
        <w:t xml:space="preserve"> (UMI Number</w:t>
      </w:r>
      <w:proofErr w:type="gramStart"/>
      <w:r>
        <w:rPr>
          <w:sz w:val="24"/>
        </w:rPr>
        <w:t>:1432920</w:t>
      </w:r>
      <w:proofErr w:type="gramEnd"/>
      <w:r>
        <w:rPr>
          <w:sz w:val="24"/>
        </w:rPr>
        <w:t>).</w:t>
      </w:r>
    </w:p>
    <w:p w:rsidR="007A0FE6" w:rsidRDefault="005C2DF8">
      <w:pPr>
        <w:pStyle w:val="BodyText"/>
        <w:ind w:left="940" w:right="216" w:hanging="720"/>
        <w:jc w:val="both"/>
      </w:pPr>
      <w:proofErr w:type="gramStart"/>
      <w:r>
        <w:t>Pica, T. (1994).</w:t>
      </w:r>
      <w:proofErr w:type="gramEnd"/>
      <w:r>
        <w:t xml:space="preserve"> Research on negotiation: What does it reveal about second-language learning conditions, processes, and outcomes? </w:t>
      </w:r>
      <w:proofErr w:type="gramStart"/>
      <w:r>
        <w:rPr>
          <w:i/>
        </w:rPr>
        <w:t>Language Learning, 44(3), 493- 527.</w:t>
      </w:r>
      <w:proofErr w:type="gramEnd"/>
      <w:r>
        <w:rPr>
          <w:i/>
        </w:rPr>
        <w:t xml:space="preserve"> </w:t>
      </w:r>
      <w:r>
        <w:t>DOI: 10.1111/j.1467-1770.1994.tb01115.x</w:t>
      </w:r>
    </w:p>
    <w:p w:rsidR="007A0FE6" w:rsidRDefault="005C2DF8">
      <w:pPr>
        <w:pStyle w:val="BodyText"/>
        <w:ind w:left="940" w:right="220" w:hanging="720"/>
        <w:jc w:val="both"/>
      </w:pPr>
      <w:proofErr w:type="gramStart"/>
      <w:r>
        <w:t>Pica, T., &amp; Doughty, C. (1985).</w:t>
      </w:r>
      <w:proofErr w:type="gramEnd"/>
      <w:r>
        <w:t xml:space="preserve"> Input and interaction in the communicative language classroom: A comparison of teacher-fronted and group activities. In S. </w:t>
      </w:r>
      <w:proofErr w:type="spellStart"/>
      <w:r>
        <w:t>Gass</w:t>
      </w:r>
      <w:proofErr w:type="spellEnd"/>
      <w:r>
        <w:t>., &amp;</w:t>
      </w:r>
    </w:p>
    <w:p w:rsidR="007A0FE6" w:rsidRDefault="005C2DF8">
      <w:pPr>
        <w:ind w:left="940" w:right="217"/>
        <w:jc w:val="both"/>
        <w:rPr>
          <w:sz w:val="24"/>
        </w:rPr>
      </w:pPr>
      <w:r>
        <w:rPr>
          <w:sz w:val="24"/>
        </w:rPr>
        <w:t xml:space="preserve">C. Madden. </w:t>
      </w:r>
      <w:proofErr w:type="gramStart"/>
      <w:r>
        <w:rPr>
          <w:sz w:val="24"/>
        </w:rPr>
        <w:t xml:space="preserve">(Eds.), </w:t>
      </w:r>
      <w:r>
        <w:rPr>
          <w:i/>
          <w:sz w:val="24"/>
        </w:rPr>
        <w:t xml:space="preserve">Input and second language acquisition </w:t>
      </w:r>
      <w:r>
        <w:rPr>
          <w:sz w:val="24"/>
        </w:rPr>
        <w:t>(pp. 115-132)</w:t>
      </w:r>
      <w:r>
        <w:rPr>
          <w:i/>
          <w:sz w:val="24"/>
        </w:rPr>
        <w:t>.</w:t>
      </w:r>
      <w:proofErr w:type="gramEnd"/>
      <w:r>
        <w:rPr>
          <w:i/>
          <w:sz w:val="24"/>
        </w:rPr>
        <w:t xml:space="preserve"> </w:t>
      </w:r>
      <w:r>
        <w:rPr>
          <w:sz w:val="24"/>
        </w:rPr>
        <w:t>Cambridge, MA: Newbury House.</w:t>
      </w:r>
    </w:p>
    <w:p w:rsidR="007A0FE6" w:rsidRDefault="005C2DF8">
      <w:pPr>
        <w:pStyle w:val="BodyText"/>
        <w:spacing w:before="1"/>
        <w:ind w:left="940" w:right="217" w:hanging="720"/>
        <w:jc w:val="both"/>
      </w:pPr>
      <w:proofErr w:type="spellStart"/>
      <w:proofErr w:type="gramStart"/>
      <w:r>
        <w:t>Rezaei</w:t>
      </w:r>
      <w:proofErr w:type="spellEnd"/>
      <w:r>
        <w:t xml:space="preserve">, A., &amp; </w:t>
      </w:r>
      <w:proofErr w:type="spellStart"/>
      <w:r>
        <w:t>Hashim</w:t>
      </w:r>
      <w:proofErr w:type="spellEnd"/>
      <w:r>
        <w:t>, F. (2013).</w:t>
      </w:r>
      <w:proofErr w:type="gramEnd"/>
      <w:r>
        <w:t xml:space="preserve"> Impact of awareness </w:t>
      </w:r>
      <w:proofErr w:type="gramStart"/>
      <w:r>
        <w:t>raising</w:t>
      </w:r>
      <w:proofErr w:type="gramEnd"/>
      <w:r>
        <w:t xml:space="preserve"> about listening micro-skills on the listening comprehension enhancement: An exploration of the listening micro-skills in EFL classes. </w:t>
      </w:r>
      <w:proofErr w:type="gramStart"/>
      <w:r>
        <w:rPr>
          <w:i/>
        </w:rPr>
        <w:t>Australian Journal of Teacher Education, 38(8), 1- 15.</w:t>
      </w:r>
      <w:proofErr w:type="gramEnd"/>
      <w:r>
        <w:rPr>
          <w:i/>
        </w:rPr>
        <w:t xml:space="preserve"> </w:t>
      </w:r>
      <w:r>
        <w:t>DOI: 10.14221/ajte.2013v38n8.4</w:t>
      </w:r>
    </w:p>
    <w:p w:rsidR="007A0FE6" w:rsidRDefault="005C2DF8">
      <w:pPr>
        <w:ind w:left="220"/>
        <w:jc w:val="both"/>
        <w:rPr>
          <w:sz w:val="24"/>
        </w:rPr>
      </w:pPr>
      <w:proofErr w:type="spellStart"/>
      <w:proofErr w:type="gramStart"/>
      <w:r>
        <w:rPr>
          <w:sz w:val="24"/>
        </w:rPr>
        <w:t>Rost</w:t>
      </w:r>
      <w:proofErr w:type="spellEnd"/>
      <w:r>
        <w:rPr>
          <w:sz w:val="24"/>
        </w:rPr>
        <w:t>, M. (1994).</w:t>
      </w:r>
      <w:proofErr w:type="gramEnd"/>
      <w:r>
        <w:rPr>
          <w:sz w:val="24"/>
        </w:rPr>
        <w:t xml:space="preserve"> </w:t>
      </w:r>
      <w:proofErr w:type="gramStart"/>
      <w:r>
        <w:rPr>
          <w:i/>
          <w:sz w:val="24"/>
        </w:rPr>
        <w:t>Introducing listening</w:t>
      </w:r>
      <w:r>
        <w:rPr>
          <w:sz w:val="24"/>
        </w:rPr>
        <w:t>.</w:t>
      </w:r>
      <w:proofErr w:type="gramEnd"/>
      <w:r>
        <w:rPr>
          <w:sz w:val="24"/>
        </w:rPr>
        <w:t xml:space="preserve"> London: Penguin.</w:t>
      </w:r>
    </w:p>
    <w:p w:rsidR="007A0FE6" w:rsidRDefault="005C2DF8">
      <w:pPr>
        <w:ind w:left="940" w:right="661" w:hanging="720"/>
        <w:jc w:val="both"/>
        <w:rPr>
          <w:sz w:val="24"/>
        </w:rPr>
      </w:pPr>
      <w:proofErr w:type="spellStart"/>
      <w:proofErr w:type="gramStart"/>
      <w:r>
        <w:rPr>
          <w:sz w:val="24"/>
        </w:rPr>
        <w:t>Rost</w:t>
      </w:r>
      <w:proofErr w:type="spellEnd"/>
      <w:r>
        <w:rPr>
          <w:sz w:val="24"/>
        </w:rPr>
        <w:t>, M. (2015).</w:t>
      </w:r>
      <w:proofErr w:type="gramEnd"/>
      <w:r>
        <w:rPr>
          <w:sz w:val="24"/>
        </w:rPr>
        <w:t xml:space="preserve"> </w:t>
      </w:r>
      <w:r>
        <w:rPr>
          <w:i/>
          <w:sz w:val="24"/>
        </w:rPr>
        <w:t xml:space="preserve">Teaching and researching listening (3th Eds.). </w:t>
      </w:r>
      <w:r>
        <w:rPr>
          <w:sz w:val="24"/>
        </w:rPr>
        <w:t>Florence: Taylor and Francis.</w:t>
      </w:r>
    </w:p>
    <w:p w:rsidR="007A0FE6" w:rsidRDefault="005C2DF8">
      <w:pPr>
        <w:pStyle w:val="BodyText"/>
        <w:ind w:left="940" w:right="218" w:hanging="720"/>
        <w:jc w:val="both"/>
      </w:pPr>
      <w:proofErr w:type="gramStart"/>
      <w:r>
        <w:t xml:space="preserve">Ryan, R. M., &amp; </w:t>
      </w:r>
      <w:proofErr w:type="spellStart"/>
      <w:r>
        <w:t>Deci</w:t>
      </w:r>
      <w:proofErr w:type="spellEnd"/>
      <w:r>
        <w:t>, E. L. (2000) Self-determination theory and the facilitation of 24 intrinsic motivation, social development, and well-being.</w:t>
      </w:r>
      <w:proofErr w:type="gramEnd"/>
      <w:r>
        <w:t xml:space="preserve"> </w:t>
      </w:r>
      <w:r>
        <w:rPr>
          <w:i/>
        </w:rPr>
        <w:t xml:space="preserve">American Psychologist, 55(1), 68-78. </w:t>
      </w:r>
      <w:r>
        <w:t>DOI: 10.1037/0003-066x.55.1.68</w:t>
      </w:r>
    </w:p>
    <w:p w:rsidR="007A0FE6" w:rsidRDefault="005C2DF8">
      <w:pPr>
        <w:ind w:left="940" w:right="213" w:hanging="720"/>
        <w:jc w:val="both"/>
        <w:rPr>
          <w:sz w:val="24"/>
        </w:rPr>
      </w:pPr>
      <w:proofErr w:type="spellStart"/>
      <w:r>
        <w:rPr>
          <w:sz w:val="24"/>
        </w:rPr>
        <w:t>Sasson</w:t>
      </w:r>
      <w:proofErr w:type="spellEnd"/>
      <w:r>
        <w:rPr>
          <w:sz w:val="24"/>
        </w:rPr>
        <w:t xml:space="preserve">, D. (2014). </w:t>
      </w:r>
      <w:r>
        <w:rPr>
          <w:i/>
          <w:sz w:val="24"/>
        </w:rPr>
        <w:t>Listening and Reading for English Language Learners: Collaborative Teaching for Greater Success with K-6</w:t>
      </w:r>
      <w:r>
        <w:rPr>
          <w:sz w:val="24"/>
        </w:rPr>
        <w:t xml:space="preserve">. Lanham: </w:t>
      </w:r>
      <w:proofErr w:type="spellStart"/>
      <w:r>
        <w:rPr>
          <w:sz w:val="24"/>
        </w:rPr>
        <w:t>Rowman</w:t>
      </w:r>
      <w:proofErr w:type="spellEnd"/>
      <w:r>
        <w:rPr>
          <w:sz w:val="24"/>
        </w:rPr>
        <w:t xml:space="preserve"> &amp; Littlefield Education.</w:t>
      </w:r>
    </w:p>
    <w:p w:rsidR="007A0FE6" w:rsidRDefault="005C2DF8">
      <w:pPr>
        <w:pStyle w:val="BodyText"/>
        <w:spacing w:before="1"/>
        <w:ind w:left="940" w:right="218" w:hanging="720"/>
        <w:jc w:val="both"/>
      </w:pPr>
      <w:proofErr w:type="gramStart"/>
      <w:r>
        <w:t>Shanahan, T. (2006).</w:t>
      </w:r>
      <w:proofErr w:type="gramEnd"/>
      <w:r>
        <w:t xml:space="preserve"> </w:t>
      </w:r>
      <w:proofErr w:type="gramStart"/>
      <w:r>
        <w:t>Relations among oral language, reading and writing development.</w:t>
      </w:r>
      <w:proofErr w:type="gramEnd"/>
      <w:r>
        <w:t xml:space="preserve"> In C. A. MacArthur, S. Graham, J. Fitzgerald. (Eds.), </w:t>
      </w:r>
      <w:r>
        <w:rPr>
          <w:i/>
        </w:rPr>
        <w:t xml:space="preserve">Handbook of writing research </w:t>
      </w:r>
      <w:r>
        <w:t>(pp. 171-183)</w:t>
      </w:r>
      <w:r>
        <w:rPr>
          <w:i/>
        </w:rPr>
        <w:t xml:space="preserve">. </w:t>
      </w:r>
      <w:r>
        <w:t>New York, NY: The Guildford Press.</w:t>
      </w:r>
    </w:p>
    <w:p w:rsidR="007A0FE6" w:rsidRDefault="005C2DF8">
      <w:pPr>
        <w:pStyle w:val="BodyText"/>
        <w:ind w:left="220"/>
        <w:jc w:val="both"/>
      </w:pPr>
      <w:proofErr w:type="spellStart"/>
      <w:r>
        <w:t>Stenbacka</w:t>
      </w:r>
      <w:proofErr w:type="spellEnd"/>
      <w:r>
        <w:t xml:space="preserve">,   C.   (2001).   Qualitative   research   requires   </w:t>
      </w:r>
      <w:proofErr w:type="gramStart"/>
      <w:r>
        <w:t>quality  concepts</w:t>
      </w:r>
      <w:proofErr w:type="gramEnd"/>
      <w:r>
        <w:t xml:space="preserve">   of   its</w:t>
      </w:r>
      <w:r>
        <w:rPr>
          <w:spacing w:val="-9"/>
        </w:rPr>
        <w:t xml:space="preserve"> </w:t>
      </w:r>
      <w:r>
        <w:t>own.</w:t>
      </w:r>
    </w:p>
    <w:p w:rsidR="007A0FE6" w:rsidRDefault="005C2DF8">
      <w:pPr>
        <w:ind w:left="220" w:right="224" w:firstLine="719"/>
        <w:jc w:val="both"/>
        <w:rPr>
          <w:sz w:val="24"/>
        </w:rPr>
      </w:pPr>
      <w:r>
        <w:rPr>
          <w:i/>
          <w:sz w:val="24"/>
        </w:rPr>
        <w:t>Management Decision, 39(7), 551-556</w:t>
      </w:r>
      <w:r>
        <w:rPr>
          <w:sz w:val="24"/>
        </w:rPr>
        <w:t>. DOI: 10.1108/eum0000000005801 Steven,</w:t>
      </w:r>
      <w:r>
        <w:rPr>
          <w:spacing w:val="53"/>
          <w:sz w:val="24"/>
        </w:rPr>
        <w:t xml:space="preserve"> </w:t>
      </w:r>
      <w:r>
        <w:rPr>
          <w:sz w:val="24"/>
        </w:rPr>
        <w:t>C.</w:t>
      </w:r>
      <w:r>
        <w:rPr>
          <w:spacing w:val="53"/>
          <w:sz w:val="24"/>
        </w:rPr>
        <w:t xml:space="preserve"> </w:t>
      </w:r>
      <w:r>
        <w:rPr>
          <w:sz w:val="24"/>
        </w:rPr>
        <w:t>R.</w:t>
      </w:r>
      <w:r>
        <w:rPr>
          <w:spacing w:val="52"/>
          <w:sz w:val="24"/>
        </w:rPr>
        <w:t xml:space="preserve"> </w:t>
      </w:r>
      <w:r>
        <w:rPr>
          <w:sz w:val="24"/>
        </w:rPr>
        <w:t>(1987).</w:t>
      </w:r>
      <w:r>
        <w:rPr>
          <w:spacing w:val="54"/>
          <w:sz w:val="24"/>
        </w:rPr>
        <w:t xml:space="preserve"> </w:t>
      </w:r>
      <w:r>
        <w:rPr>
          <w:sz w:val="24"/>
        </w:rPr>
        <w:t>A</w:t>
      </w:r>
      <w:r>
        <w:rPr>
          <w:spacing w:val="52"/>
          <w:sz w:val="24"/>
        </w:rPr>
        <w:t xml:space="preserve"> </w:t>
      </w:r>
      <w:r>
        <w:rPr>
          <w:sz w:val="24"/>
        </w:rPr>
        <w:t>study</w:t>
      </w:r>
      <w:r>
        <w:rPr>
          <w:spacing w:val="50"/>
          <w:sz w:val="24"/>
        </w:rPr>
        <w:t xml:space="preserve"> </w:t>
      </w:r>
      <w:r>
        <w:rPr>
          <w:sz w:val="24"/>
        </w:rPr>
        <w:t>of</w:t>
      </w:r>
      <w:r>
        <w:rPr>
          <w:spacing w:val="55"/>
          <w:sz w:val="24"/>
        </w:rPr>
        <w:t xml:space="preserve"> </w:t>
      </w:r>
      <w:r>
        <w:rPr>
          <w:sz w:val="24"/>
        </w:rPr>
        <w:t>effective</w:t>
      </w:r>
      <w:r>
        <w:rPr>
          <w:spacing w:val="51"/>
          <w:sz w:val="24"/>
        </w:rPr>
        <w:t xml:space="preserve"> </w:t>
      </w:r>
      <w:r>
        <w:rPr>
          <w:sz w:val="24"/>
        </w:rPr>
        <w:t>and</w:t>
      </w:r>
      <w:r>
        <w:rPr>
          <w:spacing w:val="52"/>
          <w:sz w:val="24"/>
        </w:rPr>
        <w:t xml:space="preserve"> </w:t>
      </w:r>
      <w:r>
        <w:rPr>
          <w:sz w:val="24"/>
        </w:rPr>
        <w:t>ineffective</w:t>
      </w:r>
      <w:r>
        <w:rPr>
          <w:spacing w:val="53"/>
          <w:sz w:val="24"/>
        </w:rPr>
        <w:t xml:space="preserve"> </w:t>
      </w:r>
      <w:r>
        <w:rPr>
          <w:sz w:val="24"/>
        </w:rPr>
        <w:t>listening</w:t>
      </w:r>
      <w:r>
        <w:rPr>
          <w:spacing w:val="50"/>
          <w:sz w:val="24"/>
        </w:rPr>
        <w:t xml:space="preserve"> </w:t>
      </w:r>
      <w:r>
        <w:rPr>
          <w:sz w:val="24"/>
        </w:rPr>
        <w:t>dyads</w:t>
      </w:r>
      <w:r>
        <w:rPr>
          <w:spacing w:val="54"/>
          <w:sz w:val="24"/>
        </w:rPr>
        <w:t xml:space="preserve"> </w:t>
      </w:r>
      <w:r>
        <w:rPr>
          <w:sz w:val="24"/>
        </w:rPr>
        <w:t>using</w:t>
      </w:r>
      <w:r>
        <w:rPr>
          <w:spacing w:val="50"/>
          <w:sz w:val="24"/>
        </w:rPr>
        <w:t xml:space="preserve"> </w:t>
      </w:r>
      <w:r>
        <w:rPr>
          <w:sz w:val="24"/>
        </w:rPr>
        <w:t>the</w:t>
      </w:r>
    </w:p>
    <w:p w:rsidR="007A0FE6" w:rsidRDefault="005C2DF8">
      <w:pPr>
        <w:ind w:left="940" w:right="218"/>
        <w:jc w:val="both"/>
        <w:rPr>
          <w:sz w:val="24"/>
        </w:rPr>
      </w:pPr>
      <w:proofErr w:type="gramStart"/>
      <w:r>
        <w:rPr>
          <w:sz w:val="24"/>
        </w:rPr>
        <w:t>systems</w:t>
      </w:r>
      <w:proofErr w:type="gramEnd"/>
      <w:r>
        <w:rPr>
          <w:sz w:val="24"/>
        </w:rPr>
        <w:t xml:space="preserve">, theory, and principle of Entropy. </w:t>
      </w:r>
      <w:proofErr w:type="gramStart"/>
      <w:r>
        <w:rPr>
          <w:i/>
          <w:sz w:val="24"/>
        </w:rPr>
        <w:t>Journal of the International Listening Association, 1(1), 32-53.</w:t>
      </w:r>
      <w:proofErr w:type="gramEnd"/>
      <w:r>
        <w:rPr>
          <w:i/>
          <w:sz w:val="24"/>
        </w:rPr>
        <w:t xml:space="preserve"> </w:t>
      </w:r>
      <w:r>
        <w:rPr>
          <w:sz w:val="24"/>
        </w:rPr>
        <w:t>DOI: 101080/10904018.1987.10499007</w:t>
      </w:r>
    </w:p>
    <w:p w:rsidR="007A0FE6" w:rsidRDefault="005C2DF8">
      <w:pPr>
        <w:ind w:left="940" w:right="220" w:hanging="720"/>
        <w:jc w:val="both"/>
        <w:rPr>
          <w:sz w:val="24"/>
        </w:rPr>
      </w:pPr>
      <w:proofErr w:type="gramStart"/>
      <w:r>
        <w:rPr>
          <w:sz w:val="24"/>
        </w:rPr>
        <w:t>Swain, M. (2000).</w:t>
      </w:r>
      <w:proofErr w:type="gramEnd"/>
      <w:r>
        <w:rPr>
          <w:sz w:val="24"/>
        </w:rPr>
        <w:t xml:space="preserve"> The output hypothesis and beyond: Mediating acquisition through collaborative dialogue. </w:t>
      </w:r>
      <w:proofErr w:type="gramStart"/>
      <w:r>
        <w:rPr>
          <w:sz w:val="24"/>
        </w:rPr>
        <w:t xml:space="preserve">In J. P. </w:t>
      </w:r>
      <w:proofErr w:type="spellStart"/>
      <w:r>
        <w:rPr>
          <w:sz w:val="24"/>
        </w:rPr>
        <w:t>Lantolf</w:t>
      </w:r>
      <w:proofErr w:type="spellEnd"/>
      <w:r>
        <w:rPr>
          <w:sz w:val="24"/>
        </w:rPr>
        <w:t>.</w:t>
      </w:r>
      <w:proofErr w:type="gramEnd"/>
      <w:r>
        <w:rPr>
          <w:sz w:val="24"/>
        </w:rPr>
        <w:t xml:space="preserve"> (Ed.), </w:t>
      </w:r>
      <w:proofErr w:type="spellStart"/>
      <w:proofErr w:type="gramStart"/>
      <w:r>
        <w:rPr>
          <w:i/>
          <w:sz w:val="24"/>
        </w:rPr>
        <w:t>Sociocultural</w:t>
      </w:r>
      <w:proofErr w:type="spellEnd"/>
      <w:proofErr w:type="gramEnd"/>
      <w:r>
        <w:rPr>
          <w:i/>
          <w:sz w:val="24"/>
        </w:rPr>
        <w:t xml:space="preserve"> theory and second language learning </w:t>
      </w:r>
      <w:r>
        <w:rPr>
          <w:sz w:val="24"/>
        </w:rPr>
        <w:t>(pp. 97-114)</w:t>
      </w:r>
      <w:r>
        <w:rPr>
          <w:i/>
          <w:sz w:val="24"/>
        </w:rPr>
        <w:t xml:space="preserve">. </w:t>
      </w:r>
      <w:r>
        <w:rPr>
          <w:sz w:val="24"/>
        </w:rPr>
        <w:t>Oxford: Oxford University Press.</w:t>
      </w:r>
    </w:p>
    <w:p w:rsidR="007A0FE6" w:rsidRDefault="005C2DF8">
      <w:pPr>
        <w:ind w:left="940" w:right="219" w:hanging="720"/>
        <w:jc w:val="both"/>
        <w:rPr>
          <w:sz w:val="24"/>
        </w:rPr>
      </w:pPr>
      <w:proofErr w:type="spellStart"/>
      <w:r>
        <w:rPr>
          <w:sz w:val="24"/>
        </w:rPr>
        <w:t>Trochim</w:t>
      </w:r>
      <w:proofErr w:type="spellEnd"/>
      <w:r>
        <w:rPr>
          <w:sz w:val="24"/>
        </w:rPr>
        <w:t xml:space="preserve">, W. M. (2006). </w:t>
      </w:r>
      <w:proofErr w:type="gramStart"/>
      <w:r>
        <w:rPr>
          <w:i/>
          <w:sz w:val="24"/>
        </w:rPr>
        <w:t>The research methods knowledge base (2</w:t>
      </w:r>
      <w:r>
        <w:rPr>
          <w:i/>
          <w:sz w:val="24"/>
          <w:vertAlign w:val="superscript"/>
        </w:rPr>
        <w:t>nd</w:t>
      </w:r>
      <w:r>
        <w:rPr>
          <w:i/>
          <w:sz w:val="24"/>
        </w:rPr>
        <w:t xml:space="preserve"> Eds.).</w:t>
      </w:r>
      <w:proofErr w:type="gramEnd"/>
      <w:r>
        <w:rPr>
          <w:i/>
          <w:sz w:val="24"/>
        </w:rPr>
        <w:t xml:space="preserve">  </w:t>
      </w:r>
      <w:proofErr w:type="gramStart"/>
      <w:r>
        <w:rPr>
          <w:spacing w:val="-3"/>
          <w:sz w:val="24"/>
        </w:rPr>
        <w:t xml:space="preserve">Retrieved </w:t>
      </w:r>
      <w:r>
        <w:rPr>
          <w:sz w:val="24"/>
        </w:rPr>
        <w:t>from</w:t>
      </w:r>
      <w:r>
        <w:rPr>
          <w:spacing w:val="-1"/>
          <w:sz w:val="24"/>
        </w:rPr>
        <w:t xml:space="preserve"> </w:t>
      </w:r>
      <w:r>
        <w:rPr>
          <w:sz w:val="24"/>
        </w:rPr>
        <w:t>(</w:t>
      </w:r>
      <w:hyperlink r:id="rId54">
        <w:r>
          <w:rPr>
            <w:sz w:val="24"/>
          </w:rPr>
          <w:t>http://www.socialresearchmethods.net/kb/contents.php</w:t>
        </w:r>
      </w:hyperlink>
      <w:r>
        <w:rPr>
          <w:sz w:val="24"/>
        </w:rPr>
        <w:t>).</w:t>
      </w:r>
      <w:proofErr w:type="gramEnd"/>
    </w:p>
    <w:p w:rsidR="007A0FE6" w:rsidRDefault="005C2DF8">
      <w:pPr>
        <w:pStyle w:val="BodyText"/>
        <w:spacing w:before="1"/>
        <w:ind w:left="940"/>
        <w:jc w:val="both"/>
      </w:pPr>
      <w:r>
        <w:t>[24 September, 2015].</w:t>
      </w:r>
    </w:p>
    <w:p w:rsidR="007A0FE6" w:rsidRDefault="005C2DF8">
      <w:pPr>
        <w:ind w:left="940" w:hanging="720"/>
        <w:rPr>
          <w:sz w:val="24"/>
        </w:rPr>
      </w:pPr>
      <w:proofErr w:type="spellStart"/>
      <w:proofErr w:type="gramStart"/>
      <w:r>
        <w:rPr>
          <w:sz w:val="24"/>
        </w:rPr>
        <w:t>Usó</w:t>
      </w:r>
      <w:proofErr w:type="spellEnd"/>
      <w:r>
        <w:rPr>
          <w:sz w:val="24"/>
        </w:rPr>
        <w:t xml:space="preserve">-Juan, E., &amp; </w:t>
      </w:r>
      <w:proofErr w:type="spellStart"/>
      <w:r>
        <w:rPr>
          <w:sz w:val="24"/>
        </w:rPr>
        <w:t>Martínez-Flor</w:t>
      </w:r>
      <w:proofErr w:type="spellEnd"/>
      <w:r>
        <w:rPr>
          <w:sz w:val="24"/>
        </w:rPr>
        <w:t>, A. (2006).</w:t>
      </w:r>
      <w:proofErr w:type="gramEnd"/>
      <w:r>
        <w:rPr>
          <w:sz w:val="24"/>
        </w:rPr>
        <w:t xml:space="preserve"> (Eds.), </w:t>
      </w:r>
      <w:r>
        <w:rPr>
          <w:i/>
          <w:sz w:val="24"/>
        </w:rPr>
        <w:t xml:space="preserve">Current trends in the development and teaching of the four language skills. </w:t>
      </w:r>
      <w:r>
        <w:rPr>
          <w:sz w:val="24"/>
        </w:rPr>
        <w:t xml:space="preserve">Berlin: Walter de </w:t>
      </w:r>
      <w:proofErr w:type="spellStart"/>
      <w:r>
        <w:rPr>
          <w:sz w:val="24"/>
        </w:rPr>
        <w:t>Gruyter</w:t>
      </w:r>
      <w:proofErr w:type="spellEnd"/>
      <w:r>
        <w:rPr>
          <w:sz w:val="24"/>
        </w:rPr>
        <w:t xml:space="preserve"> </w:t>
      </w:r>
      <w:proofErr w:type="spellStart"/>
      <w:r>
        <w:rPr>
          <w:sz w:val="24"/>
        </w:rPr>
        <w:t>Gmgh</w:t>
      </w:r>
      <w:proofErr w:type="spellEnd"/>
      <w:r>
        <w:rPr>
          <w:sz w:val="24"/>
        </w:rPr>
        <w:t xml:space="preserve"> &amp; Co.</w:t>
      </w:r>
    </w:p>
    <w:p w:rsidR="007A0FE6" w:rsidRDefault="005C2DF8">
      <w:pPr>
        <w:ind w:left="940" w:hanging="720"/>
        <w:rPr>
          <w:sz w:val="24"/>
        </w:rPr>
      </w:pPr>
      <w:r>
        <w:rPr>
          <w:sz w:val="24"/>
        </w:rPr>
        <w:t xml:space="preserve">Vandergrift, L. (2004). Listening to learn or learning to listen? </w:t>
      </w:r>
      <w:r>
        <w:rPr>
          <w:i/>
          <w:sz w:val="24"/>
        </w:rPr>
        <w:t xml:space="preserve">Annual Review of Applied Linguistics, 24(1), 3-25. </w:t>
      </w:r>
      <w:r>
        <w:rPr>
          <w:sz w:val="24"/>
        </w:rPr>
        <w:t>DOI: 10.1017/s026719050400017</w:t>
      </w:r>
    </w:p>
    <w:p w:rsidR="007A0FE6" w:rsidRDefault="005C2DF8">
      <w:pPr>
        <w:ind w:left="940" w:hanging="720"/>
        <w:rPr>
          <w:sz w:val="24"/>
        </w:rPr>
      </w:pPr>
      <w:r>
        <w:rPr>
          <w:sz w:val="24"/>
        </w:rPr>
        <w:t xml:space="preserve">Vandergrift, L. (2007). </w:t>
      </w:r>
      <w:proofErr w:type="gramStart"/>
      <w:r>
        <w:rPr>
          <w:sz w:val="24"/>
        </w:rPr>
        <w:t>Recent development in second language listening comprehension research.</w:t>
      </w:r>
      <w:proofErr w:type="gramEnd"/>
      <w:r>
        <w:rPr>
          <w:sz w:val="24"/>
        </w:rPr>
        <w:t xml:space="preserve"> </w:t>
      </w:r>
      <w:proofErr w:type="gramStart"/>
      <w:r>
        <w:rPr>
          <w:i/>
          <w:sz w:val="24"/>
        </w:rPr>
        <w:t>Language teaching, 40(3), 191-210.</w:t>
      </w:r>
      <w:proofErr w:type="gramEnd"/>
      <w:r>
        <w:rPr>
          <w:i/>
          <w:sz w:val="24"/>
        </w:rPr>
        <w:t xml:space="preserve"> </w:t>
      </w:r>
      <w:r>
        <w:rPr>
          <w:sz w:val="24"/>
        </w:rPr>
        <w:t>DOI: 101017/s0261444807004338</w:t>
      </w:r>
    </w:p>
    <w:p w:rsidR="007A0FE6" w:rsidRDefault="007A0FE6">
      <w:pPr>
        <w:rPr>
          <w:sz w:val="24"/>
        </w:rPr>
        <w:sectPr w:rsidR="007A0FE6">
          <w:pgSz w:w="12240" w:h="15840"/>
          <w:pgMar w:top="1360" w:right="1580" w:bottom="1260" w:left="1580" w:header="0" w:footer="1061" w:gutter="0"/>
          <w:cols w:space="720"/>
        </w:sectPr>
      </w:pPr>
    </w:p>
    <w:p w:rsidR="007A0FE6" w:rsidRDefault="005C2DF8">
      <w:pPr>
        <w:spacing w:before="79"/>
        <w:ind w:left="220"/>
        <w:rPr>
          <w:i/>
          <w:sz w:val="24"/>
        </w:rPr>
      </w:pPr>
      <w:r>
        <w:rPr>
          <w:sz w:val="24"/>
        </w:rPr>
        <w:t xml:space="preserve">Walker, N. (2014). </w:t>
      </w:r>
      <w:proofErr w:type="gramStart"/>
      <w:r>
        <w:rPr>
          <w:sz w:val="24"/>
        </w:rPr>
        <w:t>Listening: The most difficult skill to teach.</w:t>
      </w:r>
      <w:proofErr w:type="gramEnd"/>
      <w:r>
        <w:rPr>
          <w:sz w:val="24"/>
        </w:rPr>
        <w:t xml:space="preserve"> </w:t>
      </w:r>
      <w:proofErr w:type="spellStart"/>
      <w:r>
        <w:rPr>
          <w:i/>
          <w:sz w:val="24"/>
        </w:rPr>
        <w:t>Eucuenro</w:t>
      </w:r>
      <w:proofErr w:type="spellEnd"/>
      <w:r>
        <w:rPr>
          <w:i/>
          <w:sz w:val="24"/>
        </w:rPr>
        <w:t>, 23, 2014, 167-</w:t>
      </w:r>
    </w:p>
    <w:p w:rsidR="007A0FE6" w:rsidRDefault="005C2DF8">
      <w:pPr>
        <w:pStyle w:val="BodyText"/>
        <w:ind w:left="220" w:right="716" w:firstLine="719"/>
      </w:pPr>
      <w:r>
        <w:rPr>
          <w:i/>
        </w:rPr>
        <w:t>175</w:t>
      </w:r>
      <w:hyperlink r:id="rId55">
        <w:r>
          <w:t>. (http://www.encue</w:t>
        </w:r>
      </w:hyperlink>
      <w:r>
        <w:t>n</w:t>
      </w:r>
      <w:hyperlink r:id="rId56">
        <w:r>
          <w:t>trojournal.org/textos/Walker_LISTENING%20.pdf)</w:t>
        </w:r>
      </w:hyperlink>
      <w:r>
        <w:t xml:space="preserve"> </w:t>
      </w:r>
      <w:proofErr w:type="spellStart"/>
      <w:proofErr w:type="gramStart"/>
      <w:r>
        <w:t>Wolvin</w:t>
      </w:r>
      <w:proofErr w:type="spellEnd"/>
      <w:r>
        <w:t xml:space="preserve">, A., &amp; </w:t>
      </w:r>
      <w:proofErr w:type="spellStart"/>
      <w:r>
        <w:t>Coakley</w:t>
      </w:r>
      <w:proofErr w:type="spellEnd"/>
      <w:r>
        <w:t>, C. (1988).</w:t>
      </w:r>
      <w:proofErr w:type="gramEnd"/>
      <w:r>
        <w:t xml:space="preserve"> </w:t>
      </w:r>
      <w:proofErr w:type="gramStart"/>
      <w:r>
        <w:rPr>
          <w:i/>
        </w:rPr>
        <w:t>Listening (3</w:t>
      </w:r>
      <w:r>
        <w:rPr>
          <w:i/>
          <w:vertAlign w:val="superscript"/>
        </w:rPr>
        <w:t>rd</w:t>
      </w:r>
      <w:r>
        <w:rPr>
          <w:i/>
        </w:rPr>
        <w:t xml:space="preserve"> Eds.)</w:t>
      </w:r>
      <w:r>
        <w:t>.</w:t>
      </w:r>
      <w:proofErr w:type="gramEnd"/>
      <w:r>
        <w:t xml:space="preserve"> Dubuque, IA: Brown.</w:t>
      </w:r>
    </w:p>
    <w:sectPr w:rsidR="007A0FE6" w:rsidSect="00D955F1">
      <w:pgSz w:w="12240" w:h="15840"/>
      <w:pgMar w:top="1360" w:right="1580" w:bottom="1260" w:left="1580" w:header="0" w:footer="10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618" w:rsidRDefault="00685618">
      <w:r>
        <w:separator/>
      </w:r>
    </w:p>
  </w:endnote>
  <w:endnote w:type="continuationSeparator" w:id="0">
    <w:p w:rsidR="00685618" w:rsidRDefault="006856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E6" w:rsidRDefault="00D955F1">
    <w:pPr>
      <w:pStyle w:val="BodyText"/>
      <w:spacing w:line="14" w:lineRule="auto"/>
      <w:rPr>
        <w:sz w:val="20"/>
      </w:rPr>
    </w:pPr>
    <w:r w:rsidRPr="00D955F1">
      <w:pict>
        <v:shapetype id="_x0000_t202" coordsize="21600,21600" o:spt="202" path="m,l,21600r21600,l21600,xe">
          <v:stroke joinstyle="miter"/>
          <v:path gradientshapeok="t" o:connecttype="rect"/>
        </v:shapetype>
        <v:shape id="_x0000_s2049" type="#_x0000_t202" style="position:absolute;margin-left:297.05pt;margin-top:727.95pt;width:18pt;height:15.3pt;z-index:-251658752;mso-position-horizontal-relative:page;mso-position-vertical-relative:page" filled="f" stroked="f">
          <v:textbox inset="0,0,0,0">
            <w:txbxContent>
              <w:p w:rsidR="007A0FE6" w:rsidRDefault="00D955F1">
                <w:pPr>
                  <w:pStyle w:val="BodyText"/>
                  <w:spacing w:before="10"/>
                  <w:ind w:left="60"/>
                </w:pPr>
                <w:r>
                  <w:fldChar w:fldCharType="begin"/>
                </w:r>
                <w:r w:rsidR="005C2DF8">
                  <w:rPr>
                    <w:color w:val="4471C4"/>
                  </w:rPr>
                  <w:instrText xml:space="preserve"> PAGE </w:instrText>
                </w:r>
                <w:r>
                  <w:fldChar w:fldCharType="separate"/>
                </w:r>
                <w:r w:rsidR="007B34D6">
                  <w:rPr>
                    <w:noProof/>
                    <w:color w:val="4471C4"/>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618" w:rsidRDefault="00685618">
      <w:r>
        <w:separator/>
      </w:r>
    </w:p>
  </w:footnote>
  <w:footnote w:type="continuationSeparator" w:id="0">
    <w:p w:rsidR="00685618" w:rsidRDefault="006856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7A0FE6"/>
    <w:rsid w:val="003C54C8"/>
    <w:rsid w:val="005C2DF8"/>
    <w:rsid w:val="00685618"/>
    <w:rsid w:val="007A0FE6"/>
    <w:rsid w:val="007B34D6"/>
    <w:rsid w:val="00D95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955F1"/>
    <w:rPr>
      <w:rFonts w:ascii="Times New Roman" w:eastAsia="Times New Roman" w:hAnsi="Times New Roman" w:cs="Times New Roman"/>
    </w:rPr>
  </w:style>
  <w:style w:type="paragraph" w:styleId="Heading1">
    <w:name w:val="heading 1"/>
    <w:basedOn w:val="Normal"/>
    <w:uiPriority w:val="1"/>
    <w:qFormat/>
    <w:rsid w:val="00D955F1"/>
    <w:pPr>
      <w:ind w:left="220"/>
      <w:outlineLvl w:val="0"/>
    </w:pPr>
    <w:rPr>
      <w:b/>
      <w:bCs/>
      <w:sz w:val="24"/>
      <w:szCs w:val="24"/>
    </w:rPr>
  </w:style>
  <w:style w:type="paragraph" w:styleId="Heading2">
    <w:name w:val="heading 2"/>
    <w:basedOn w:val="Normal"/>
    <w:uiPriority w:val="1"/>
    <w:qFormat/>
    <w:rsid w:val="00D955F1"/>
    <w:pPr>
      <w:ind w:left="220"/>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955F1"/>
    <w:rPr>
      <w:sz w:val="24"/>
      <w:szCs w:val="24"/>
    </w:rPr>
  </w:style>
  <w:style w:type="paragraph" w:styleId="Title">
    <w:name w:val="Title"/>
    <w:basedOn w:val="Normal"/>
    <w:uiPriority w:val="1"/>
    <w:qFormat/>
    <w:rsid w:val="00D955F1"/>
    <w:pPr>
      <w:spacing w:before="86"/>
      <w:ind w:left="517" w:right="513"/>
      <w:jc w:val="center"/>
    </w:pPr>
    <w:rPr>
      <w:b/>
      <w:bCs/>
      <w:sz w:val="32"/>
      <w:szCs w:val="32"/>
    </w:rPr>
  </w:style>
  <w:style w:type="paragraph" w:styleId="ListParagraph">
    <w:name w:val="List Paragraph"/>
    <w:basedOn w:val="Normal"/>
    <w:uiPriority w:val="1"/>
    <w:qFormat/>
    <w:rsid w:val="00D955F1"/>
  </w:style>
  <w:style w:type="paragraph" w:customStyle="1" w:styleId="TableParagraph">
    <w:name w:val="Table Paragraph"/>
    <w:basedOn w:val="Normal"/>
    <w:uiPriority w:val="1"/>
    <w:qFormat/>
    <w:rsid w:val="00D955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c0953132.cdn.cloudfiles.rackspacecloud.com/stories-albertos-new-neighbours.mp3" TargetMode="External"/><Relationship Id="rId18" Type="http://schemas.openxmlformats.org/officeDocument/2006/relationships/hyperlink" Target="http://learnenglish.britishcouncil.org/sites/podcasts/files/learnenglish-stories-albertos-new-neighbours-support-pack.pdf" TargetMode="External"/><Relationship Id="rId26" Type="http://schemas.openxmlformats.org/officeDocument/2006/relationships/hyperlink" Target="http://c0953132.cdn.cloudfiles.rackspacecloud.com/stories-twins.mp3" TargetMode="External"/><Relationship Id="rId39" Type="http://schemas.openxmlformats.org/officeDocument/2006/relationships/hyperlink" Target="http://c0953132.cdn.cloudfiles.rackspacecloud.com/stories-the-comeback.mp3" TargetMode="External"/><Relationship Id="rId21" Type="http://schemas.openxmlformats.org/officeDocument/2006/relationships/hyperlink" Target="http://c0953132.cdn.cloudfiles.rackspacecloud.com/stories-coming-back-up.mp3" TargetMode="External"/><Relationship Id="rId34" Type="http://schemas.openxmlformats.org/officeDocument/2006/relationships/hyperlink" Target="http://learnenglish.britishcouncil.org/sites/podcasts/files/learnenglish-stories-april-fool-support-pack_0.pdf" TargetMode="External"/><Relationship Id="rId42" Type="http://schemas.openxmlformats.org/officeDocument/2006/relationships/hyperlink" Target="http://learnenglish.britishcouncil.org/sites/podcasts/files/LearnEnglish_story_TheComeback.pdf" TargetMode="External"/><Relationship Id="rId47" Type="http://schemas.openxmlformats.org/officeDocument/2006/relationships/hyperlink" Target="http://www.nova.edu/ssss/QR/QR8-" TargetMode="External"/><Relationship Id="rId50" Type="http://schemas.openxmlformats.org/officeDocument/2006/relationships/hyperlink" Target="https://www.ielts.org/ielts-for-organisations/ielts-scoring-in-detail" TargetMode="External"/><Relationship Id="rId55" Type="http://schemas.openxmlformats.org/officeDocument/2006/relationships/hyperlink" Target="http://www.encuentrojournal.org/textos/Walker_LISTENING%20.pdf)" TargetMode="External"/><Relationship Id="rId7" Type="http://schemas.openxmlformats.org/officeDocument/2006/relationships/hyperlink" Target="http://learnenglish.britishcouncil.org/en/listen-and-watch)" TargetMode="External"/><Relationship Id="rId12" Type="http://schemas.openxmlformats.org/officeDocument/2006/relationships/hyperlink" Target="http://learnenglish.britishcouncil.org/sites/podcasts/files/LearnEnglish_story_Scarlett.pdf" TargetMode="External"/><Relationship Id="rId17" Type="http://schemas.openxmlformats.org/officeDocument/2006/relationships/hyperlink" Target="http://learnenglish.britishcouncil.org/sites/podcasts/files/learnenglish-stories-albertos-new-neighbours-support-pack.pdf" TargetMode="External"/><Relationship Id="rId25" Type="http://schemas.openxmlformats.org/officeDocument/2006/relationships/hyperlink" Target="http://learnenglish.britishcouncil.org/sites/podcasts/files/Story-Comingbackup.pdf" TargetMode="External"/><Relationship Id="rId33" Type="http://schemas.openxmlformats.org/officeDocument/2006/relationships/hyperlink" Target="http://c0953132.cdn.cloudfiles.rackspacecloud.com/stories-april-fools-day.mp3" TargetMode="External"/><Relationship Id="rId38" Type="http://schemas.openxmlformats.org/officeDocument/2006/relationships/hyperlink" Target="http://c0953132.cdn.cloudfiles.rackspacecloud.com/stories-the-comeback.mp3" TargetMode="External"/><Relationship Id="rId46" Type="http://schemas.openxmlformats.org/officeDocument/2006/relationships/hyperlink" Target="http://files.eric.ed.gov/fulltext/EJ1057316.pdf)" TargetMode="External"/><Relationship Id="rId2" Type="http://schemas.openxmlformats.org/officeDocument/2006/relationships/settings" Target="settings.xml"/><Relationship Id="rId16" Type="http://schemas.openxmlformats.org/officeDocument/2006/relationships/hyperlink" Target="http://learnenglish.britishcouncil.org/sites/podcasts/files/learnenglish-stories-albertos-new-neighbours-support-pack.pdf" TargetMode="External"/><Relationship Id="rId20" Type="http://schemas.openxmlformats.org/officeDocument/2006/relationships/hyperlink" Target="http://c0953132.cdn.cloudfiles.rackspacecloud.com/stories-coming-back-up.mp3" TargetMode="External"/><Relationship Id="rId29" Type="http://schemas.openxmlformats.org/officeDocument/2006/relationships/hyperlink" Target="http://learnenglish.britishcouncil.org/sites/podcasts/files/learnenglish-stories-two-peas-in-a-pod-support-pack.pdf" TargetMode="External"/><Relationship Id="rId41" Type="http://schemas.openxmlformats.org/officeDocument/2006/relationships/hyperlink" Target="http://learnenglish.britishcouncil.org/sites/podcasts/files/LearnEnglish_story_TheComeback.pdf" TargetMode="External"/><Relationship Id="rId54" Type="http://schemas.openxmlformats.org/officeDocument/2006/relationships/hyperlink" Target="http://www.socialresearchmethods.net/kb/contents.php"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learnenglish.britishcouncil.org/sites/podcasts/files/LearnEnglish_story_Scarlett.pdf" TargetMode="External"/><Relationship Id="rId24" Type="http://schemas.openxmlformats.org/officeDocument/2006/relationships/hyperlink" Target="http://learnenglish.britishcouncil.org/sites/podcasts/files/Story-Comingbackup.pdf" TargetMode="External"/><Relationship Id="rId32" Type="http://schemas.openxmlformats.org/officeDocument/2006/relationships/hyperlink" Target="http://c0953132.cdn.cloudfiles.rackspacecloud.com/stories-april-fools-day.mp3" TargetMode="External"/><Relationship Id="rId37" Type="http://schemas.openxmlformats.org/officeDocument/2006/relationships/hyperlink" Target="http://c0953132.cdn.cloudfiles.rackspacecloud.com/stories-the-comeback.mp3" TargetMode="External"/><Relationship Id="rId40" Type="http://schemas.openxmlformats.org/officeDocument/2006/relationships/hyperlink" Target="http://learnenglish.britishcouncil.org/sites/podcasts/files/LearnEnglish_story_TheComeback.pdf" TargetMode="External"/><Relationship Id="rId45" Type="http://schemas.openxmlformats.org/officeDocument/2006/relationships/hyperlink" Target="http://www.birmingham.ac.uk/Documents/college-artslaw/cels/essays/secondlanguage/DailySLAKeyMotivationalFactorsandHowTeachers.pdf" TargetMode="External"/><Relationship Id="rId53" Type="http://schemas.openxmlformats.org/officeDocument/2006/relationships/hyperlink" Target="http://talk-waseda.net/dialogue/no03_2004/2004dialogue03_k4.pdf)"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c0953132.cdn.cloudfiles.rackspacecloud.com/stories-albertos-new-neighbours.mp3" TargetMode="External"/><Relationship Id="rId23" Type="http://schemas.openxmlformats.org/officeDocument/2006/relationships/hyperlink" Target="http://learnenglish.britishcouncil.org/sites/podcasts/files/Story-Comingbackup.pdf" TargetMode="External"/><Relationship Id="rId28" Type="http://schemas.openxmlformats.org/officeDocument/2006/relationships/hyperlink" Target="http://learnenglish.britishcouncil.org/sites/podcasts/files/learnenglish-stories-two-peas-in-a-pod-support-pack.pdf" TargetMode="External"/><Relationship Id="rId36" Type="http://schemas.openxmlformats.org/officeDocument/2006/relationships/hyperlink" Target="http://learnenglish.britishcouncil.org/sites/podcasts/files/learnenglish-stories-april-fool-support-pack_0.pdf" TargetMode="External"/><Relationship Id="rId49" Type="http://schemas.openxmlformats.org/officeDocument/2006/relationships/hyperlink" Target="http://takeielts.britishcouncil.org/find-out-about-results/ielts-assessment-criteria" TargetMode="External"/><Relationship Id="rId57" Type="http://schemas.openxmlformats.org/officeDocument/2006/relationships/fontTable" Target="fontTable.xml"/><Relationship Id="rId10" Type="http://schemas.openxmlformats.org/officeDocument/2006/relationships/hyperlink" Target="http://learnenglish.britishcouncil.org/sites/podcasts/files/LearnEnglish_story_Scarlett.pdf" TargetMode="External"/><Relationship Id="rId19" Type="http://schemas.openxmlformats.org/officeDocument/2006/relationships/hyperlink" Target="http://learnenglish.britishcouncil.org/sites/podcasts/files/learnenglish-stories-albertos-new-neighbours-support-pack.pdf" TargetMode="External"/><Relationship Id="rId31" Type="http://schemas.openxmlformats.org/officeDocument/2006/relationships/hyperlink" Target="http://c0953132.cdn.cloudfiles.rackspacecloud.com/stories-april-fools-day.mp3" TargetMode="External"/><Relationship Id="rId44" Type="http://schemas.openxmlformats.org/officeDocument/2006/relationships/hyperlink" Target="http://www.birmingham.ac.uk/Documents/college-artslaw/cels/essays/secondlanguage/DailySLAKeyMotivationalFactorsandHowTeachers.pdf" TargetMode="External"/><Relationship Id="rId52" Type="http://schemas.openxmlformats.org/officeDocument/2006/relationships/hyperlink" Target="http://talk-waseda.net/dialogue/no03_2004/2004dialogue03_k4.pdf)" TargetMode="External"/><Relationship Id="rId4" Type="http://schemas.openxmlformats.org/officeDocument/2006/relationships/footnotes" Target="footnotes.xml"/><Relationship Id="rId9" Type="http://schemas.openxmlformats.org/officeDocument/2006/relationships/hyperlink" Target="http://c0953132.cdn.cloudfiles.rackspacecloud.com/stories-scarlett.mp3" TargetMode="External"/><Relationship Id="rId14" Type="http://schemas.openxmlformats.org/officeDocument/2006/relationships/hyperlink" Target="http://c0953132.cdn.cloudfiles.rackspacecloud.com/stories-albertos-new-neighbours.mp3" TargetMode="External"/><Relationship Id="rId22" Type="http://schemas.openxmlformats.org/officeDocument/2006/relationships/hyperlink" Target="http://c0953132.cdn.cloudfiles.rackspacecloud.com/stories-coming-back-up.mp3" TargetMode="External"/><Relationship Id="rId27" Type="http://schemas.openxmlformats.org/officeDocument/2006/relationships/hyperlink" Target="http://c0953132.cdn.cloudfiles.rackspacecloud.com/stories-twins.mp3" TargetMode="External"/><Relationship Id="rId30" Type="http://schemas.openxmlformats.org/officeDocument/2006/relationships/hyperlink" Target="http://learnenglish.britishcouncil.org/sites/podcasts/files/learnenglish-stories-two-peas-in-a-pod-support-pack.pdf" TargetMode="External"/><Relationship Id="rId35" Type="http://schemas.openxmlformats.org/officeDocument/2006/relationships/hyperlink" Target="http://learnenglish.britishcouncil.org/sites/podcasts/files/learnenglish-stories-april-fool-support-pack_0.pdf" TargetMode="External"/><Relationship Id="rId43" Type="http://schemas.openxmlformats.org/officeDocument/2006/relationships/hyperlink" Target="http://www.birmingham.ac.uk/Documents/college-artslaw/cels/essays/secondlanguage/DailySLAKeyMotivationalFactorsandHowTeachers.pdf" TargetMode="External"/><Relationship Id="rId48" Type="http://schemas.openxmlformats.org/officeDocument/2006/relationships/hyperlink" Target="http://takeielts.britishcouncil.org/find-out-about-results/ielts-assessment-criteria" TargetMode="External"/><Relationship Id="rId56" Type="http://schemas.openxmlformats.org/officeDocument/2006/relationships/hyperlink" Target="http://www.encuentrojournal.org/textos/Walker_LISTENING%20.pdf)" TargetMode="External"/><Relationship Id="rId8" Type="http://schemas.openxmlformats.org/officeDocument/2006/relationships/hyperlink" Target="http://c0953132.cdn.cloudfiles.rackspacecloud.com/stories-scarlett.mp3" TargetMode="External"/><Relationship Id="rId51" Type="http://schemas.openxmlformats.org/officeDocument/2006/relationships/hyperlink" Target="https://www.ielts.org/ielts-for-organisations/ielts-scoring-in-detai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7360</Words>
  <Characters>41954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mum</dc:creator>
  <cp:lastModifiedBy>Ramesh_2</cp:lastModifiedBy>
  <cp:revision>2</cp:revision>
  <dcterms:created xsi:type="dcterms:W3CDTF">2020-05-08T08:12:00Z</dcterms:created>
  <dcterms:modified xsi:type="dcterms:W3CDTF">2020-05-08T08:12:00Z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2019-04-28T00:00:00Z</vt:filetime>
  </property>
  <property fmtid="{D5CDD505-2E9C-101B-9397-08002B2CF9AE}" pid="3" name="Creator">
    <vt:lpwstr>Microsoft® Word for Office 365</vt:lpwstr>
  </property>
  <property fmtid="{D5CDD505-2E9C-101B-9397-08002B2CF9AE}" pid="4" name="LastSaved">
    <vt:filetime>2020-05-06T00:00:00Z</vt:filetime>
  </property>
</Properties>
</file>